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8F550">
      <w:pPr>
        <w:widowControl/>
        <w:shd w:val="clear" w:color="auto" w:fill="auto"/>
        <w:spacing w:line="579" w:lineRule="exact"/>
        <w:jc w:val="center"/>
        <w:textAlignment w:val="center"/>
        <w:rPr>
          <w:rFonts w:hint="eastAsia" w:ascii="方正小标宋简体" w:hAnsi="方正小标宋简体" w:eastAsia="方正小标宋简体" w:cs="方正小标宋简体"/>
          <w:color w:val="1E1E1E"/>
          <w:kern w:val="0"/>
          <w:sz w:val="44"/>
          <w:szCs w:val="44"/>
          <w:shd w:val="clear" w:color="auto" w:fill="FFFFFF"/>
          <w:lang w:bidi="ar"/>
        </w:rPr>
      </w:pPr>
      <w:r>
        <w:rPr>
          <w:rFonts w:hint="eastAsia" w:ascii="方正小标宋简体" w:hAnsi="方正小标宋简体" w:eastAsia="方正小标宋简体" w:cs="方正小标宋简体"/>
          <w:color w:val="1E1E1E"/>
          <w:kern w:val="0"/>
          <w:sz w:val="44"/>
          <w:szCs w:val="44"/>
          <w:shd w:val="clear" w:color="auto" w:fill="FFFFFF"/>
          <w:lang w:val="en-US" w:eastAsia="zh-CN" w:bidi="ar"/>
        </w:rPr>
        <w:t>华鲁环科（辛集）</w:t>
      </w:r>
      <w:r>
        <w:rPr>
          <w:rFonts w:hint="eastAsia" w:ascii="方正小标宋简体" w:hAnsi="方正小标宋简体" w:eastAsia="方正小标宋简体" w:cs="方正小标宋简体"/>
          <w:color w:val="1E1E1E"/>
          <w:kern w:val="0"/>
          <w:sz w:val="44"/>
          <w:szCs w:val="44"/>
          <w:shd w:val="clear" w:color="auto" w:fill="FFFFFF"/>
          <w:lang w:bidi="ar"/>
        </w:rPr>
        <w:t>水处理有限公司</w:t>
      </w:r>
    </w:p>
    <w:p w14:paraId="095DEEA9">
      <w:pPr>
        <w:widowControl/>
        <w:shd w:val="clear" w:color="auto" w:fill="auto"/>
        <w:spacing w:line="579" w:lineRule="exact"/>
        <w:jc w:val="center"/>
        <w:textAlignment w:val="center"/>
        <w:rPr>
          <w:rFonts w:ascii="微软雅黑" w:hAnsi="微软雅黑" w:eastAsia="微软雅黑" w:cs="微软雅黑"/>
          <w:color w:val="C8C8C8"/>
          <w:sz w:val="44"/>
          <w:szCs w:val="44"/>
        </w:rPr>
      </w:pPr>
      <w:r>
        <w:rPr>
          <w:rFonts w:hint="eastAsia" w:ascii="方正小标宋简体" w:hAnsi="方正小标宋简体" w:eastAsia="方正小标宋简体" w:cs="方正小标宋简体"/>
          <w:color w:val="1E1E1E"/>
          <w:kern w:val="0"/>
          <w:sz w:val="44"/>
          <w:szCs w:val="44"/>
          <w:shd w:val="clear" w:color="auto" w:fill="FFFFFF"/>
          <w:lang w:bidi="ar"/>
        </w:rPr>
        <w:t>202</w:t>
      </w:r>
      <w:r>
        <w:rPr>
          <w:rFonts w:hint="eastAsia" w:ascii="方正小标宋简体" w:hAnsi="方正小标宋简体" w:eastAsia="方正小标宋简体" w:cs="方正小标宋简体"/>
          <w:color w:val="1E1E1E"/>
          <w:kern w:val="0"/>
          <w:sz w:val="44"/>
          <w:szCs w:val="44"/>
          <w:shd w:val="clear" w:color="auto" w:fill="FFFFFF"/>
          <w:lang w:val="en-US" w:eastAsia="zh-CN" w:bidi="ar"/>
        </w:rPr>
        <w:t>5</w:t>
      </w:r>
      <w:r>
        <w:rPr>
          <w:rFonts w:hint="eastAsia" w:ascii="方正小标宋简体" w:hAnsi="方正小标宋简体" w:eastAsia="方正小标宋简体" w:cs="方正小标宋简体"/>
          <w:color w:val="000000" w:themeColor="text1"/>
          <w:kern w:val="0"/>
          <w:sz w:val="44"/>
          <w:szCs w:val="44"/>
          <w:shd w:val="clear" w:color="auto" w:fill="FFFFFF"/>
          <w:lang w:bidi="ar"/>
          <w14:textFill>
            <w14:solidFill>
              <w14:schemeClr w14:val="tx1"/>
            </w14:solidFill>
          </w14:textFill>
        </w:rPr>
        <w:t>年度</w:t>
      </w:r>
      <w:r>
        <w:rPr>
          <w:rFonts w:hint="eastAsia" w:ascii="方正小标宋简体" w:hAnsi="方正小标宋简体" w:eastAsia="方正小标宋简体" w:cs="方正小标宋简体"/>
          <w:color w:val="1E1E1E"/>
          <w:kern w:val="0"/>
          <w:sz w:val="44"/>
          <w:szCs w:val="44"/>
          <w:shd w:val="clear" w:color="auto" w:fill="FFFFFF"/>
        </w:rPr>
        <w:t>重大</w:t>
      </w:r>
      <w:r>
        <w:rPr>
          <w:rFonts w:hint="eastAsia" w:ascii="方正小标宋简体" w:hAnsi="方正小标宋简体" w:eastAsia="方正小标宋简体" w:cs="方正小标宋简体"/>
          <w:color w:val="1E1E1E"/>
          <w:kern w:val="0"/>
          <w:sz w:val="44"/>
          <w:szCs w:val="44"/>
          <w:shd w:val="clear" w:color="auto" w:fill="FFFFFF"/>
          <w:lang w:bidi="ar"/>
        </w:rPr>
        <w:t>信息公告</w:t>
      </w:r>
    </w:p>
    <w:p w14:paraId="488173B5">
      <w:pPr>
        <w:pStyle w:val="9"/>
        <w:widowControl/>
        <w:spacing w:beforeAutospacing="0" w:afterAutospacing="0"/>
        <w:jc w:val="both"/>
        <w:rPr>
          <w:rFonts w:ascii="Calibri" w:hAnsi="Calibri" w:eastAsia="微软雅黑" w:cs="Calibri"/>
          <w:color w:val="000000"/>
          <w:sz w:val="32"/>
          <w:szCs w:val="32"/>
          <w:shd w:val="clear" w:color="auto" w:fill="FFFFFF"/>
        </w:rPr>
      </w:pPr>
      <w:r>
        <w:rPr>
          <w:rFonts w:hint="eastAsia" w:ascii="微软雅黑" w:hAnsi="微软雅黑" w:eastAsia="微软雅黑" w:cs="微软雅黑"/>
          <w:color w:val="707070"/>
          <w:sz w:val="18"/>
          <w:szCs w:val="18"/>
          <w:shd w:val="clear" w:color="auto" w:fill="FFFFFF"/>
        </w:rPr>
        <w:t> </w:t>
      </w:r>
    </w:p>
    <w:tbl>
      <w:tblPr>
        <w:tblStyle w:val="21"/>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8861"/>
      </w:tblGrid>
      <w:tr w14:paraId="654FCC0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690" w:hRule="atLeast"/>
        </w:trPr>
        <w:tc>
          <w:tcPr>
            <w:tcW w:w="5000" w:type="pct"/>
            <w:vAlign w:val="top"/>
          </w:tcPr>
          <w:p w14:paraId="486AB94A">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default" w:ascii="Times New Roman" w:hAnsi="Times New Roman" w:eastAsia="仿宋" w:cs="Times New Roman"/>
                <w:color w:val="auto"/>
                <w:spacing w:val="0"/>
                <w:sz w:val="31"/>
                <w:szCs w:val="31"/>
              </w:rPr>
            </w:pPr>
            <w:r>
              <w:rPr>
                <w:rFonts w:hint="eastAsia" w:ascii="楷体_GB2312" w:hAnsi="楷体_GB2312" w:eastAsia="楷体_GB2312" w:cs="楷体_GB2312"/>
                <w:color w:val="auto"/>
                <w:spacing w:val="0"/>
                <w:sz w:val="32"/>
                <w:szCs w:val="32"/>
              </w:rPr>
              <w:t>本公司董事会及全体董事保证本公告内容不存在任何虚假记载、误导性陈述或者重大遗漏，并对其内容的真实性、准确性和完整性承担个别及连带责任。</w:t>
            </w:r>
          </w:p>
        </w:tc>
      </w:tr>
    </w:tbl>
    <w:p w14:paraId="24A71E55">
      <w:pPr>
        <w:pStyle w:val="9"/>
        <w:widowControl/>
        <w:spacing w:beforeAutospacing="0" w:afterAutospacing="0"/>
        <w:jc w:val="both"/>
        <w:rPr>
          <w:rFonts w:ascii="Calibri" w:hAnsi="Calibri" w:eastAsia="微软雅黑" w:cs="Calibri"/>
          <w:color w:val="000000"/>
          <w:sz w:val="32"/>
          <w:szCs w:val="32"/>
          <w:shd w:val="clear" w:color="auto" w:fill="FFFFFF"/>
        </w:rPr>
      </w:pPr>
    </w:p>
    <w:p w14:paraId="43395770">
      <w:pPr>
        <w:pStyle w:val="9"/>
        <w:keepNext w:val="0"/>
        <w:keepLines w:val="0"/>
        <w:pageBreakBefore w:val="0"/>
        <w:widowControl/>
        <w:kinsoku/>
        <w:wordWrap/>
        <w:overflowPunct/>
        <w:topLinePunct w:val="0"/>
        <w:bidi w:val="0"/>
        <w:adjustRightInd/>
        <w:snapToGrid/>
        <w:spacing w:beforeAutospacing="0" w:afterAutospacing="0" w:line="579" w:lineRule="exact"/>
        <w:jc w:val="both"/>
        <w:textAlignment w:val="auto"/>
      </w:pPr>
      <w:r>
        <w:rPr>
          <w:rFonts w:ascii="黑体" w:hAnsi="宋体" w:eastAsia="黑体" w:cs="黑体"/>
          <w:color w:val="000000"/>
          <w:sz w:val="32"/>
          <w:szCs w:val="32"/>
          <w:shd w:val="clear" w:color="auto" w:fill="FFFFFF"/>
        </w:rPr>
        <w:t>　　一、公司基本情况</w:t>
      </w:r>
      <w:r>
        <w:rPr>
          <w:rFonts w:hint="eastAsia" w:ascii="黑体" w:hAnsi="宋体" w:eastAsia="黑体" w:cs="黑体"/>
          <w:color w:val="000000"/>
          <w:sz w:val="32"/>
          <w:szCs w:val="32"/>
          <w:shd w:val="clear" w:color="auto" w:fill="FFFFFF"/>
        </w:rPr>
        <w:t> </w:t>
      </w:r>
    </w:p>
    <w:p w14:paraId="0CB5125C">
      <w:pPr>
        <w:pStyle w:val="9"/>
        <w:keepNext w:val="0"/>
        <w:keepLines w:val="0"/>
        <w:pageBreakBefore w:val="0"/>
        <w:widowControl/>
        <w:kinsoku/>
        <w:wordWrap/>
        <w:overflowPunct/>
        <w:topLinePunct w:val="0"/>
        <w:bidi w:val="0"/>
        <w:adjustRightInd/>
        <w:snapToGrid/>
        <w:spacing w:beforeAutospacing="0" w:afterAutospacing="0" w:line="579" w:lineRule="exact"/>
        <w:ind w:firstLine="640" w:firstLineChars="200"/>
        <w:jc w:val="both"/>
        <w:textAlignment w:val="auto"/>
        <w:rPr>
          <w:rFonts w:hint="default" w:eastAsia="仿宋_GB2312"/>
          <w:lang w:val="en-US" w:eastAsia="zh-CN"/>
        </w:rPr>
      </w:pPr>
      <w:r>
        <w:rPr>
          <w:rFonts w:hint="default" w:ascii="Times New Roman" w:hAnsi="Times New Roman" w:eastAsia="楷体_GB2312" w:cs="Times New Roman"/>
          <w:b w:val="0"/>
          <w:snapToGrid w:val="0"/>
          <w:color w:val="auto"/>
          <w:sz w:val="32"/>
          <w:szCs w:val="32"/>
          <w:shd w:val="clear"/>
          <w:lang w:bidi="ar"/>
        </w:rPr>
        <w:t>1.中文名称：</w:t>
      </w:r>
      <w:r>
        <w:rPr>
          <w:rFonts w:hint="eastAsia" w:ascii="仿宋_GB2312" w:hAnsi="Calibri" w:eastAsia="仿宋_GB2312" w:cs="仿宋_GB2312"/>
          <w:color w:val="000000"/>
          <w:sz w:val="32"/>
          <w:szCs w:val="32"/>
          <w:shd w:val="clear" w:color="auto" w:fill="FFFFFF"/>
          <w:lang w:val="en-US" w:eastAsia="zh-CN"/>
        </w:rPr>
        <w:t>华鲁环科（辛集）</w:t>
      </w:r>
      <w:r>
        <w:rPr>
          <w:rFonts w:hint="eastAsia" w:ascii="仿宋_GB2312" w:hAnsi="Calibri" w:eastAsia="仿宋_GB2312" w:cs="仿宋_GB2312"/>
          <w:color w:val="000000"/>
          <w:sz w:val="32"/>
          <w:szCs w:val="32"/>
          <w:shd w:val="clear" w:color="auto" w:fill="FFFFFF"/>
        </w:rPr>
        <w:t>水处理有限公司</w:t>
      </w:r>
      <w:r>
        <w:rPr>
          <w:rFonts w:hint="eastAsia" w:ascii="Times New Roman" w:hAnsi="Times New Roman" w:eastAsia="楷体_GB2312" w:cs="Times New Roman"/>
          <w:b w:val="0"/>
          <w:snapToGrid w:val="0"/>
          <w:color w:val="auto"/>
          <w:sz w:val="32"/>
          <w:szCs w:val="32"/>
          <w:shd w:val="clear"/>
          <w:lang w:val="en-US" w:eastAsia="zh-CN" w:bidi="ar"/>
        </w:rPr>
        <w:t xml:space="preserve">  </w:t>
      </w:r>
      <w:r>
        <w:rPr>
          <w:rFonts w:hint="default" w:ascii="Times New Roman" w:hAnsi="Times New Roman" w:eastAsia="楷体_GB2312" w:cs="Times New Roman"/>
          <w:b w:val="0"/>
          <w:snapToGrid w:val="0"/>
          <w:color w:val="auto"/>
          <w:sz w:val="32"/>
          <w:szCs w:val="32"/>
          <w:shd w:val="clear"/>
          <w:lang w:bidi="ar"/>
        </w:rPr>
        <w:t>简称：</w:t>
      </w:r>
      <w:r>
        <w:rPr>
          <w:rFonts w:hint="eastAsia" w:ascii="仿宋_GB2312" w:hAnsi="Calibri" w:eastAsia="仿宋_GB2312" w:cs="仿宋_GB2312"/>
          <w:color w:val="000000"/>
          <w:sz w:val="32"/>
          <w:szCs w:val="32"/>
          <w:shd w:val="clear" w:color="auto" w:fill="FFFFFF"/>
          <w:lang w:val="en-US" w:eastAsia="zh-CN"/>
        </w:rPr>
        <w:t>环科辛集</w:t>
      </w:r>
    </w:p>
    <w:p w14:paraId="1ED27CBE">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79" w:lineRule="exact"/>
        <w:ind w:firstLine="640" w:firstLineChars="200"/>
        <w:jc w:val="both"/>
        <w:textAlignment w:val="auto"/>
        <w:rPr>
          <w:rFonts w:hint="default" w:ascii="Times New Roman" w:hAnsi="Times New Roman" w:eastAsia="仿宋_GB2312" w:cs="Times New Roman"/>
          <w:snapToGrid w:val="0"/>
          <w:color w:val="auto"/>
          <w:spacing w:val="0"/>
          <w:kern w:val="0"/>
          <w:sz w:val="32"/>
          <w:szCs w:val="32"/>
        </w:rPr>
      </w:pPr>
      <w:r>
        <w:rPr>
          <w:rFonts w:hint="default" w:ascii="Times New Roman" w:hAnsi="Times New Roman" w:eastAsia="楷体_GB2312" w:cs="Times New Roman"/>
          <w:b w:val="0"/>
          <w:snapToGrid w:val="0"/>
          <w:color w:val="auto"/>
          <w:sz w:val="32"/>
          <w:szCs w:val="32"/>
          <w:shd w:val="clear"/>
          <w:lang w:val="en-US" w:eastAsia="zh-CN" w:bidi="ar"/>
        </w:rPr>
        <w:t>2.</w:t>
      </w:r>
      <w:r>
        <w:rPr>
          <w:rFonts w:hint="default" w:ascii="Times New Roman" w:hAnsi="Times New Roman" w:eastAsia="楷体_GB2312" w:cs="Times New Roman"/>
          <w:b w:val="0"/>
          <w:snapToGrid w:val="0"/>
          <w:color w:val="auto"/>
          <w:sz w:val="32"/>
          <w:szCs w:val="32"/>
          <w:shd w:val="clear"/>
          <w:lang w:bidi="ar"/>
        </w:rPr>
        <w:t>外文名称：</w:t>
      </w:r>
      <w:r>
        <w:rPr>
          <w:rFonts w:hint="default" w:ascii="Times New Roman" w:hAnsi="Times New Roman" w:eastAsia="仿宋_GB2312" w:cs="Times New Roman"/>
          <w:snapToGrid w:val="0"/>
          <w:color w:val="auto"/>
          <w:spacing w:val="0"/>
          <w:kern w:val="0"/>
          <w:sz w:val="32"/>
          <w:szCs w:val="32"/>
        </w:rPr>
        <w:t>Hualu Huanke (Xinji) Water Treatment Co., Ltd</w:t>
      </w:r>
    </w:p>
    <w:p w14:paraId="5FBBD0B2">
      <w:pPr>
        <w:pStyle w:val="9"/>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79" w:lineRule="exact"/>
        <w:ind w:firstLine="640" w:firstLineChars="200"/>
        <w:jc w:val="both"/>
        <w:textAlignment w:val="auto"/>
        <w:rPr>
          <w:rFonts w:hint="eastAsia" w:eastAsia="仿宋_GB2312"/>
          <w:lang w:eastAsia="zh-CN"/>
        </w:rPr>
      </w:pPr>
      <w:r>
        <w:rPr>
          <w:rFonts w:hint="default" w:ascii="Times New Roman" w:hAnsi="Times New Roman" w:eastAsia="楷体_GB2312" w:cs="Times New Roman"/>
          <w:b w:val="0"/>
          <w:snapToGrid w:val="0"/>
          <w:color w:val="auto"/>
          <w:sz w:val="32"/>
          <w:szCs w:val="32"/>
          <w:shd w:val="clear"/>
          <w:lang w:bidi="ar"/>
        </w:rPr>
        <w:t>3.法定代表人：</w:t>
      </w:r>
      <w:r>
        <w:rPr>
          <w:rFonts w:hint="eastAsia" w:ascii="仿宋_GB2312" w:hAnsi="Calibri" w:eastAsia="仿宋_GB2312" w:cs="仿宋_GB2312"/>
          <w:color w:val="000000"/>
          <w:sz w:val="32"/>
          <w:szCs w:val="32"/>
          <w:shd w:val="clear" w:color="auto" w:fill="FFFFFF"/>
          <w:lang w:val="en-US" w:eastAsia="zh-CN"/>
        </w:rPr>
        <w:t>胡以福</w:t>
      </w:r>
    </w:p>
    <w:p w14:paraId="5DF239BD">
      <w:pPr>
        <w:pStyle w:val="9"/>
        <w:keepNext w:val="0"/>
        <w:keepLines w:val="0"/>
        <w:pageBreakBefore w:val="0"/>
        <w:widowControl/>
        <w:kinsoku/>
        <w:wordWrap/>
        <w:overflowPunct/>
        <w:topLinePunct w:val="0"/>
        <w:bidi w:val="0"/>
        <w:adjustRightInd/>
        <w:snapToGrid/>
        <w:spacing w:beforeAutospacing="0" w:afterAutospacing="0" w:line="579" w:lineRule="exact"/>
        <w:ind w:firstLine="640" w:firstLineChars="200"/>
        <w:jc w:val="both"/>
        <w:textAlignment w:val="auto"/>
        <w:rPr>
          <w:rFonts w:hint="default" w:ascii="仿宋_GB2312" w:hAnsi="Calibri" w:eastAsia="仿宋_GB2312" w:cs="仿宋_GB2312"/>
          <w:b/>
          <w:color w:val="000000"/>
          <w:sz w:val="32"/>
          <w:szCs w:val="32"/>
          <w:shd w:val="clear" w:color="auto" w:fill="FFFFFF"/>
          <w:lang w:val="en-US" w:eastAsia="zh-CN"/>
        </w:rPr>
      </w:pPr>
      <w:r>
        <w:rPr>
          <w:rFonts w:hint="eastAsia" w:ascii="Times New Roman" w:hAnsi="Times New Roman" w:eastAsia="楷体_GB2312" w:cs="Times New Roman"/>
          <w:b w:val="0"/>
          <w:snapToGrid w:val="0"/>
          <w:color w:val="auto"/>
          <w:sz w:val="32"/>
          <w:szCs w:val="32"/>
          <w:shd w:val="clear"/>
          <w:lang w:val="en-US" w:eastAsia="zh-CN" w:bidi="ar"/>
        </w:rPr>
        <w:t>4</w:t>
      </w:r>
      <w:r>
        <w:rPr>
          <w:rFonts w:hint="default" w:ascii="Times New Roman" w:hAnsi="Times New Roman" w:eastAsia="楷体_GB2312" w:cs="Times New Roman"/>
          <w:b w:val="0"/>
          <w:snapToGrid w:val="0"/>
          <w:color w:val="auto"/>
          <w:sz w:val="32"/>
          <w:szCs w:val="32"/>
          <w:shd w:val="clear"/>
          <w:lang w:val="en-US" w:eastAsia="zh-CN" w:bidi="ar"/>
        </w:rPr>
        <w:t>.注册资</w:t>
      </w:r>
      <w:r>
        <w:rPr>
          <w:rFonts w:hint="eastAsia" w:ascii="Times New Roman" w:hAnsi="Times New Roman" w:eastAsia="楷体_GB2312" w:cs="Times New Roman"/>
          <w:b w:val="0"/>
          <w:snapToGrid w:val="0"/>
          <w:color w:val="auto"/>
          <w:sz w:val="32"/>
          <w:szCs w:val="32"/>
          <w:shd w:val="clear"/>
          <w:lang w:val="en-US" w:eastAsia="zh-CN" w:bidi="ar"/>
        </w:rPr>
        <w:t>本</w:t>
      </w:r>
      <w:r>
        <w:rPr>
          <w:rFonts w:hint="default" w:ascii="Times New Roman" w:hAnsi="Times New Roman" w:eastAsia="楷体_GB2312" w:cs="Times New Roman"/>
          <w:b w:val="0"/>
          <w:snapToGrid w:val="0"/>
          <w:color w:val="auto"/>
          <w:sz w:val="32"/>
          <w:szCs w:val="32"/>
          <w:shd w:val="clear"/>
          <w:lang w:val="en-US" w:eastAsia="zh-CN" w:bidi="ar"/>
        </w:rPr>
        <w:t>：</w:t>
      </w:r>
      <w:r>
        <w:rPr>
          <w:rFonts w:hint="default" w:ascii="Times New Roman" w:hAnsi="Times New Roman" w:eastAsia="仿宋_GB2312" w:cs="Times New Roman"/>
          <w:snapToGrid w:val="0"/>
          <w:color w:val="auto"/>
          <w:spacing w:val="0"/>
          <w:kern w:val="0"/>
          <w:sz w:val="32"/>
          <w:szCs w:val="32"/>
        </w:rPr>
        <w:t>6,761.51万元</w:t>
      </w:r>
    </w:p>
    <w:p w14:paraId="4666BB88">
      <w:pPr>
        <w:pStyle w:val="9"/>
        <w:keepNext w:val="0"/>
        <w:keepLines w:val="0"/>
        <w:pageBreakBefore w:val="0"/>
        <w:widowControl/>
        <w:kinsoku/>
        <w:wordWrap/>
        <w:overflowPunct/>
        <w:topLinePunct w:val="0"/>
        <w:bidi w:val="0"/>
        <w:adjustRightInd/>
        <w:snapToGrid/>
        <w:spacing w:beforeAutospacing="0" w:afterAutospacing="0" w:line="579" w:lineRule="exact"/>
        <w:ind w:firstLine="640" w:firstLineChars="200"/>
        <w:jc w:val="both"/>
        <w:textAlignment w:val="auto"/>
        <w:rPr>
          <w:rFonts w:hint="eastAsia" w:ascii="Times New Roman" w:hAnsi="Times New Roman" w:eastAsia="仿宋_GB2312" w:cs="Times New Roman"/>
          <w:snapToGrid w:val="0"/>
          <w:color w:val="auto"/>
          <w:spacing w:val="0"/>
          <w:kern w:val="0"/>
          <w:sz w:val="32"/>
          <w:szCs w:val="32"/>
        </w:rPr>
      </w:pPr>
      <w:r>
        <w:rPr>
          <w:rFonts w:hint="eastAsia" w:ascii="Times New Roman" w:hAnsi="Times New Roman" w:eastAsia="楷体_GB2312" w:cs="Times New Roman"/>
          <w:b w:val="0"/>
          <w:snapToGrid w:val="0"/>
          <w:color w:val="auto"/>
          <w:sz w:val="32"/>
          <w:szCs w:val="32"/>
          <w:shd w:val="clear"/>
          <w:lang w:val="en-US" w:eastAsia="zh-CN" w:bidi="ar"/>
        </w:rPr>
        <w:t>5</w:t>
      </w:r>
      <w:r>
        <w:rPr>
          <w:rFonts w:hint="default" w:ascii="Times New Roman" w:hAnsi="Times New Roman" w:eastAsia="楷体_GB2312" w:cs="Times New Roman"/>
          <w:b w:val="0"/>
          <w:snapToGrid w:val="0"/>
          <w:color w:val="auto"/>
          <w:sz w:val="32"/>
          <w:szCs w:val="32"/>
          <w:shd w:val="clear"/>
          <w:lang w:bidi="ar"/>
        </w:rPr>
        <w:t>.注册地址：</w:t>
      </w:r>
      <w:r>
        <w:rPr>
          <w:rFonts w:hint="eastAsia" w:ascii="仿宋_GB2312" w:hAnsi="Calibri" w:eastAsia="仿宋_GB2312" w:cs="仿宋_GB2312"/>
          <w:color w:val="000000"/>
          <w:sz w:val="32"/>
          <w:szCs w:val="32"/>
          <w:shd w:val="clear" w:color="auto" w:fill="FFFFFF"/>
        </w:rPr>
        <w:t>辛集市</w:t>
      </w:r>
      <w:r>
        <w:rPr>
          <w:rFonts w:hint="eastAsia" w:ascii="仿宋_GB2312" w:hAnsi="Calibri" w:eastAsia="仿宋_GB2312" w:cs="仿宋_GB2312"/>
          <w:color w:val="000000"/>
          <w:sz w:val="32"/>
          <w:szCs w:val="32"/>
          <w:shd w:val="clear" w:color="auto" w:fill="FFFFFF"/>
          <w:lang w:val="en-US" w:eastAsia="zh-CN"/>
        </w:rPr>
        <w:t>锚营</w:t>
      </w:r>
      <w:r>
        <w:rPr>
          <w:rFonts w:hint="eastAsia" w:ascii="仿宋_GB2312" w:hAnsi="Calibri" w:eastAsia="仿宋_GB2312" w:cs="仿宋_GB2312"/>
          <w:color w:val="000000"/>
          <w:sz w:val="32"/>
          <w:szCs w:val="32"/>
          <w:shd w:val="clear" w:color="auto" w:fill="FFFFFF"/>
        </w:rPr>
        <w:t>制革区创</w:t>
      </w:r>
      <w:r>
        <w:rPr>
          <w:rFonts w:hint="eastAsia" w:ascii="仿宋_GB2312" w:hAnsi="Calibri" w:eastAsia="仿宋_GB2312" w:cs="仿宋_GB2312"/>
          <w:color w:val="000000"/>
          <w:sz w:val="32"/>
          <w:szCs w:val="32"/>
          <w:shd w:val="clear" w:color="auto" w:fill="FFFFFF"/>
          <w:lang w:val="en-US" w:eastAsia="zh-CN"/>
        </w:rPr>
        <w:t>业</w:t>
      </w:r>
      <w:r>
        <w:rPr>
          <w:rFonts w:hint="eastAsia" w:ascii="仿宋_GB2312" w:hAnsi="Calibri" w:eastAsia="仿宋_GB2312" w:cs="仿宋_GB2312"/>
          <w:color w:val="000000"/>
          <w:sz w:val="32"/>
          <w:szCs w:val="32"/>
          <w:shd w:val="clear" w:color="auto" w:fill="FFFFFF"/>
        </w:rPr>
        <w:t>路</w:t>
      </w:r>
      <w:r>
        <w:rPr>
          <w:rFonts w:hint="eastAsia" w:ascii="Times New Roman" w:hAnsi="Times New Roman" w:eastAsia="仿宋_GB2312" w:cs="Times New Roman"/>
          <w:snapToGrid w:val="0"/>
          <w:color w:val="auto"/>
          <w:spacing w:val="0"/>
          <w:kern w:val="0"/>
          <w:sz w:val="32"/>
          <w:szCs w:val="32"/>
        </w:rPr>
        <w:t>45</w:t>
      </w:r>
      <w:r>
        <w:rPr>
          <w:rFonts w:hint="eastAsia" w:ascii="仿宋_GB2312" w:hAnsi="Calibri" w:eastAsia="仿宋_GB2312" w:cs="仿宋_GB2312"/>
          <w:color w:val="000000"/>
          <w:sz w:val="32"/>
          <w:szCs w:val="32"/>
          <w:shd w:val="clear" w:color="auto" w:fill="FFFFFF"/>
        </w:rPr>
        <w:t>号  </w:t>
      </w:r>
      <w:r>
        <w:rPr>
          <w:rFonts w:hint="eastAsia" w:ascii="仿宋_GB2312" w:hAnsi="Calibri" w:eastAsia="仿宋_GB2312" w:cs="仿宋_GB2312"/>
          <w:color w:val="000000"/>
          <w:sz w:val="32"/>
          <w:szCs w:val="32"/>
          <w:shd w:val="clear" w:color="auto" w:fill="FFFFFF"/>
          <w:lang w:val="en-US" w:eastAsia="zh-CN"/>
        </w:rPr>
        <w:t xml:space="preserve"> </w:t>
      </w:r>
      <w:r>
        <w:rPr>
          <w:rFonts w:hint="eastAsia" w:ascii="仿宋_GB2312" w:hAnsi="Calibri" w:eastAsia="仿宋_GB2312" w:cs="仿宋_GB2312"/>
          <w:color w:val="000000"/>
          <w:sz w:val="32"/>
          <w:szCs w:val="32"/>
          <w:shd w:val="clear" w:color="auto" w:fill="FFFFFF"/>
        </w:rPr>
        <w:t>邮政编</w:t>
      </w:r>
      <w:r>
        <w:rPr>
          <w:rFonts w:hint="eastAsia" w:ascii="Times New Roman" w:hAnsi="Times New Roman" w:eastAsia="仿宋_GB2312" w:cs="Times New Roman"/>
          <w:snapToGrid w:val="0"/>
          <w:color w:val="auto"/>
          <w:spacing w:val="0"/>
          <w:kern w:val="0"/>
          <w:sz w:val="32"/>
          <w:szCs w:val="32"/>
        </w:rPr>
        <w:t>码：</w:t>
      </w:r>
      <w:r>
        <w:rPr>
          <w:rFonts w:hint="eastAsia" w:ascii="Times New Roman" w:hAnsi="Times New Roman" w:eastAsia="仿宋_GB2312" w:cs="Times New Roman"/>
          <w:snapToGrid w:val="0"/>
          <w:color w:val="auto"/>
          <w:spacing w:val="0"/>
          <w:kern w:val="0"/>
          <w:sz w:val="32"/>
          <w:szCs w:val="32"/>
          <w:lang w:val="en-US" w:eastAsia="zh-CN"/>
        </w:rPr>
        <w:t>05236</w:t>
      </w:r>
      <w:r>
        <w:rPr>
          <w:rFonts w:hint="eastAsia" w:ascii="Times New Roman" w:hAnsi="Times New Roman" w:eastAsia="仿宋_GB2312" w:cs="Times New Roman"/>
          <w:snapToGrid w:val="0"/>
          <w:color w:val="auto"/>
          <w:spacing w:val="0"/>
          <w:kern w:val="0"/>
          <w:sz w:val="32"/>
          <w:szCs w:val="32"/>
        </w:rPr>
        <w:t>0</w:t>
      </w:r>
    </w:p>
    <w:p w14:paraId="6E858734">
      <w:pPr>
        <w:pStyle w:val="9"/>
        <w:keepNext w:val="0"/>
        <w:keepLines w:val="0"/>
        <w:pageBreakBefore w:val="0"/>
        <w:widowControl/>
        <w:kinsoku/>
        <w:wordWrap/>
        <w:overflowPunct/>
        <w:topLinePunct w:val="0"/>
        <w:bidi w:val="0"/>
        <w:adjustRightInd/>
        <w:snapToGrid/>
        <w:spacing w:beforeAutospacing="0" w:afterAutospacing="0" w:line="579" w:lineRule="exact"/>
        <w:ind w:firstLine="640" w:firstLineChars="200"/>
        <w:jc w:val="both"/>
        <w:textAlignment w:val="auto"/>
        <w:rPr>
          <w:rFonts w:hint="default" w:ascii="Times New Roman" w:hAnsi="Times New Roman" w:eastAsia="仿宋_GB2312" w:cs="Times New Roman"/>
          <w:snapToGrid w:val="0"/>
          <w:color w:val="auto"/>
          <w:spacing w:val="0"/>
          <w:kern w:val="0"/>
          <w:sz w:val="32"/>
          <w:szCs w:val="32"/>
          <w:lang w:val="en-US" w:eastAsia="zh-CN"/>
        </w:rPr>
      </w:pPr>
      <w:r>
        <w:rPr>
          <w:rFonts w:hint="eastAsia" w:ascii="Times New Roman" w:hAnsi="Times New Roman" w:eastAsia="仿宋_GB2312" w:cs="Times New Roman"/>
          <w:snapToGrid w:val="0"/>
          <w:color w:val="auto"/>
          <w:spacing w:val="0"/>
          <w:kern w:val="0"/>
          <w:sz w:val="32"/>
          <w:szCs w:val="32"/>
          <w:lang w:val="en-US" w:eastAsia="zh-CN"/>
        </w:rPr>
        <w:t>6.</w:t>
      </w:r>
      <w:r>
        <w:rPr>
          <w:rFonts w:hint="eastAsia" w:ascii="Times New Roman" w:hAnsi="Times New Roman" w:eastAsia="楷体_GB2312" w:cs="Times New Roman"/>
          <w:b w:val="0"/>
          <w:snapToGrid w:val="0"/>
          <w:color w:val="auto"/>
          <w:sz w:val="32"/>
          <w:szCs w:val="32"/>
          <w:shd w:val="clear"/>
          <w:lang w:val="en-US" w:eastAsia="zh-CN" w:bidi="ar"/>
        </w:rPr>
        <w:t>办公</w:t>
      </w:r>
      <w:r>
        <w:rPr>
          <w:rFonts w:hint="default" w:ascii="Times New Roman" w:hAnsi="Times New Roman" w:eastAsia="楷体_GB2312" w:cs="Times New Roman"/>
          <w:b w:val="0"/>
          <w:snapToGrid w:val="0"/>
          <w:color w:val="auto"/>
          <w:sz w:val="32"/>
          <w:szCs w:val="32"/>
          <w:shd w:val="clear"/>
          <w:lang w:bidi="ar"/>
        </w:rPr>
        <w:t>地址：</w:t>
      </w:r>
      <w:r>
        <w:rPr>
          <w:rFonts w:hint="eastAsia" w:ascii="仿宋_GB2312" w:hAnsi="Calibri" w:eastAsia="仿宋_GB2312" w:cs="仿宋_GB2312"/>
          <w:color w:val="000000"/>
          <w:sz w:val="32"/>
          <w:szCs w:val="32"/>
          <w:shd w:val="clear" w:color="auto" w:fill="FFFFFF"/>
        </w:rPr>
        <w:t>辛集市</w:t>
      </w:r>
      <w:r>
        <w:rPr>
          <w:rFonts w:hint="eastAsia" w:ascii="仿宋_GB2312" w:hAnsi="Calibri" w:eastAsia="仿宋_GB2312" w:cs="仿宋_GB2312"/>
          <w:color w:val="000000"/>
          <w:sz w:val="32"/>
          <w:szCs w:val="32"/>
          <w:shd w:val="clear" w:color="auto" w:fill="FFFFFF"/>
          <w:lang w:val="en-US" w:eastAsia="zh-CN"/>
        </w:rPr>
        <w:t>锚营</w:t>
      </w:r>
      <w:r>
        <w:rPr>
          <w:rFonts w:hint="eastAsia" w:ascii="仿宋_GB2312" w:hAnsi="Calibri" w:eastAsia="仿宋_GB2312" w:cs="仿宋_GB2312"/>
          <w:color w:val="000000"/>
          <w:sz w:val="32"/>
          <w:szCs w:val="32"/>
          <w:shd w:val="clear" w:color="auto" w:fill="FFFFFF"/>
        </w:rPr>
        <w:t>制革区创</w:t>
      </w:r>
      <w:r>
        <w:rPr>
          <w:rFonts w:hint="eastAsia" w:ascii="仿宋_GB2312" w:hAnsi="Calibri" w:eastAsia="仿宋_GB2312" w:cs="仿宋_GB2312"/>
          <w:color w:val="000000"/>
          <w:sz w:val="32"/>
          <w:szCs w:val="32"/>
          <w:shd w:val="clear" w:color="auto" w:fill="FFFFFF"/>
          <w:lang w:val="en-US" w:eastAsia="zh-CN"/>
        </w:rPr>
        <w:t>业</w:t>
      </w:r>
      <w:r>
        <w:rPr>
          <w:rFonts w:hint="eastAsia" w:ascii="仿宋_GB2312" w:hAnsi="Calibri" w:eastAsia="仿宋_GB2312" w:cs="仿宋_GB2312"/>
          <w:color w:val="000000"/>
          <w:sz w:val="32"/>
          <w:szCs w:val="32"/>
          <w:shd w:val="clear" w:color="auto" w:fill="FFFFFF"/>
        </w:rPr>
        <w:t>路</w:t>
      </w:r>
      <w:r>
        <w:rPr>
          <w:rFonts w:hint="eastAsia" w:ascii="Times New Roman" w:hAnsi="Times New Roman" w:eastAsia="仿宋_GB2312" w:cs="Times New Roman"/>
          <w:snapToGrid w:val="0"/>
          <w:color w:val="auto"/>
          <w:spacing w:val="0"/>
          <w:kern w:val="0"/>
          <w:sz w:val="32"/>
          <w:szCs w:val="32"/>
        </w:rPr>
        <w:t>45</w:t>
      </w:r>
      <w:r>
        <w:rPr>
          <w:rFonts w:hint="eastAsia" w:ascii="仿宋_GB2312" w:hAnsi="Calibri" w:eastAsia="仿宋_GB2312" w:cs="仿宋_GB2312"/>
          <w:color w:val="000000"/>
          <w:sz w:val="32"/>
          <w:szCs w:val="32"/>
          <w:shd w:val="clear" w:color="auto" w:fill="FFFFFF"/>
        </w:rPr>
        <w:t>号</w:t>
      </w:r>
    </w:p>
    <w:p w14:paraId="5D58CFC9">
      <w:pPr>
        <w:keepNext w:val="0"/>
        <w:keepLines w:val="0"/>
        <w:pageBreakBefore w:val="0"/>
        <w:kinsoku/>
        <w:wordWrap/>
        <w:overflowPunct/>
        <w:topLinePunct w:val="0"/>
        <w:autoSpaceDE w:val="0"/>
        <w:autoSpaceDN w:val="0"/>
        <w:bidi w:val="0"/>
        <w:adjustRightInd/>
        <w:snapToGrid/>
        <w:spacing w:after="0" w:line="579" w:lineRule="exact"/>
        <w:ind w:firstLine="640" w:firstLineChars="200"/>
        <w:jc w:val="both"/>
        <w:textAlignment w:val="auto"/>
        <w:outlineLvl w:val="1"/>
        <w:rPr>
          <w:rFonts w:hint="eastAsia" w:ascii="仿宋_GB2312" w:hAnsi="Calibri" w:eastAsia="仿宋_GB2312" w:cs="仿宋_GB2312"/>
          <w:color w:val="000000"/>
          <w:kern w:val="0"/>
          <w:sz w:val="32"/>
          <w:szCs w:val="32"/>
          <w:shd w:val="clear" w:color="auto" w:fill="FFFFFF"/>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rPr>
        <w:t>7</w:t>
      </w:r>
      <w:r>
        <w:rPr>
          <w:rFonts w:hint="default" w:ascii="Times New Roman" w:hAnsi="Times New Roman" w:eastAsia="楷体_GB2312" w:cs="Times New Roman"/>
          <w:b w:val="0"/>
          <w:snapToGrid w:val="0"/>
          <w:color w:val="auto"/>
          <w:kern w:val="0"/>
          <w:sz w:val="32"/>
          <w:szCs w:val="32"/>
          <w:shd w:val="clear"/>
          <w:lang w:bidi="ar"/>
        </w:rPr>
        <w:t>.经营范围：</w:t>
      </w:r>
      <w:r>
        <w:rPr>
          <w:rFonts w:hint="eastAsia" w:ascii="仿宋_GB2312" w:hAnsi="Calibri" w:eastAsia="仿宋_GB2312" w:cs="仿宋_GB2312"/>
          <w:color w:val="000000"/>
          <w:kern w:val="0"/>
          <w:sz w:val="32"/>
          <w:szCs w:val="32"/>
          <w:shd w:val="clear" w:color="auto" w:fill="FFFFFF"/>
          <w:lang w:val="en-US" w:eastAsia="zh-CN" w:bidi="ar-SA"/>
        </w:rPr>
        <w:t>污水、污泥处理和处置；环保设施、设备（不含特种设备）运营管理与维护以及相关技术服务及咨询；中水的生产、销售；水处理药剂研发与销售；废水处理及回用的研究开发；节能降耗技术开发、技术服务与转让；环保产业信息咨询（投资咨询除外）；水质检测；市政工程、环保工程施工（依法须经批准的项目，经相关部门批准后方可开展经营活动）。</w:t>
      </w:r>
    </w:p>
    <w:p w14:paraId="381B65DC">
      <w:pPr>
        <w:pStyle w:val="9"/>
        <w:keepNext w:val="0"/>
        <w:keepLines w:val="0"/>
        <w:pageBreakBefore w:val="0"/>
        <w:widowControl/>
        <w:kinsoku/>
        <w:wordWrap/>
        <w:overflowPunct/>
        <w:topLinePunct w:val="0"/>
        <w:bidi w:val="0"/>
        <w:adjustRightInd/>
        <w:snapToGrid/>
        <w:spacing w:beforeAutospacing="0" w:afterAutospacing="0" w:line="579" w:lineRule="exact"/>
        <w:ind w:firstLine="640" w:firstLineChars="200"/>
        <w:jc w:val="both"/>
        <w:textAlignment w:val="auto"/>
        <w:rPr>
          <w:rFonts w:ascii="仿宋_GB2312" w:hAnsi="Calibri" w:eastAsia="仿宋_GB2312" w:cs="仿宋_GB2312"/>
          <w:b/>
          <w:color w:val="000000"/>
          <w:sz w:val="32"/>
          <w:szCs w:val="32"/>
          <w:shd w:val="clear" w:color="auto" w:fill="FFFFFF"/>
        </w:rPr>
      </w:pPr>
      <w:r>
        <w:rPr>
          <w:rFonts w:hint="eastAsia" w:ascii="Times New Roman" w:hAnsi="Times New Roman" w:eastAsia="楷体_GB2312" w:cs="Times New Roman"/>
          <w:b w:val="0"/>
          <w:snapToGrid w:val="0"/>
          <w:color w:val="auto"/>
          <w:sz w:val="32"/>
          <w:szCs w:val="32"/>
          <w:shd w:val="clear"/>
          <w:lang w:val="en-US" w:eastAsia="zh-CN" w:bidi="ar"/>
        </w:rPr>
        <w:t>8</w:t>
      </w:r>
      <w:r>
        <w:rPr>
          <w:rFonts w:hint="default" w:ascii="Times New Roman" w:hAnsi="Times New Roman" w:eastAsia="楷体_GB2312" w:cs="Times New Roman"/>
          <w:b w:val="0"/>
          <w:snapToGrid w:val="0"/>
          <w:color w:val="auto"/>
          <w:sz w:val="32"/>
          <w:szCs w:val="32"/>
          <w:shd w:val="clear"/>
          <w:lang w:bidi="ar"/>
        </w:rPr>
        <w:t>.电子信箱</w:t>
      </w:r>
      <w:r>
        <w:rPr>
          <w:rFonts w:hint="default" w:ascii="Times New Roman" w:hAnsi="Times New Roman" w:eastAsia="楷体_GB2312" w:cs="Times New Roman"/>
          <w:b w:val="0"/>
          <w:snapToGrid w:val="0"/>
          <w:color w:val="auto"/>
          <w:sz w:val="32"/>
          <w:szCs w:val="32"/>
          <w:shd w:val="clear"/>
          <w:lang w:eastAsia="zh-CN" w:bidi="ar"/>
        </w:rPr>
        <w:t>：</w:t>
      </w:r>
      <w:r>
        <w:rPr>
          <w:rFonts w:hint="eastAsia" w:ascii="Times New Roman" w:hAnsi="Times New Roman" w:eastAsia="仿宋_GB2312" w:cs="Times New Roman"/>
          <w:snapToGrid w:val="0"/>
          <w:color w:val="auto"/>
          <w:spacing w:val="0"/>
          <w:kern w:val="0"/>
          <w:sz w:val="32"/>
          <w:szCs w:val="32"/>
        </w:rPr>
        <w:t> hlhkxj2021@163</w:t>
      </w:r>
      <w:bookmarkStart w:id="0" w:name="_GoBack"/>
      <w:bookmarkEnd w:id="0"/>
      <w:r>
        <w:rPr>
          <w:rFonts w:hint="eastAsia" w:ascii="Times New Roman" w:hAnsi="Times New Roman" w:eastAsia="仿宋_GB2312" w:cs="Times New Roman"/>
          <w:snapToGrid w:val="0"/>
          <w:color w:val="auto"/>
          <w:spacing w:val="0"/>
          <w:kern w:val="0"/>
          <w:sz w:val="32"/>
          <w:szCs w:val="32"/>
        </w:rPr>
        <w:t>.com</w:t>
      </w:r>
    </w:p>
    <w:p w14:paraId="61929D75">
      <w:pPr>
        <w:keepNext w:val="0"/>
        <w:keepLines w:val="0"/>
        <w:pageBreakBefore w:val="0"/>
        <w:kinsoku/>
        <w:wordWrap/>
        <w:overflowPunct/>
        <w:topLinePunct w:val="0"/>
        <w:bidi w:val="0"/>
        <w:adjustRightInd/>
        <w:snapToGrid/>
        <w:spacing w:line="579" w:lineRule="exact"/>
        <w:ind w:firstLine="640" w:firstLineChars="200"/>
        <w:jc w:val="both"/>
        <w:textAlignment w:val="auto"/>
        <w:rPr>
          <w:rFonts w:hint="default" w:ascii="Times New Roman" w:hAnsi="Times New Roman" w:eastAsia="仿宋_GB2312" w:cs="Times New Roman"/>
          <w:snapToGrid w:val="0"/>
          <w:color w:val="auto"/>
          <w:kern w:val="0"/>
          <w:sz w:val="32"/>
          <w:szCs w:val="32"/>
          <w:shd w:val="clear"/>
          <w:lang w:val="en-US" w:eastAsia="zh-CN" w:bidi="ar-SA"/>
        </w:rPr>
      </w:pPr>
      <w:r>
        <w:rPr>
          <w:rFonts w:hint="default" w:ascii="Times New Roman" w:hAnsi="Times New Roman" w:eastAsia="楷体_GB2312" w:cs="Times New Roman"/>
          <w:b w:val="0"/>
          <w:snapToGrid w:val="0"/>
          <w:color w:val="auto"/>
          <w:kern w:val="0"/>
          <w:sz w:val="32"/>
          <w:szCs w:val="32"/>
          <w:shd w:val="clear"/>
          <w:lang w:val="en-US" w:eastAsia="zh-CN" w:bidi="ar"/>
        </w:rPr>
        <w:t>9</w:t>
      </w:r>
      <w:r>
        <w:rPr>
          <w:rFonts w:hint="default" w:ascii="Times New Roman" w:hAnsi="Times New Roman" w:eastAsia="楷体_GB2312" w:cs="Times New Roman"/>
          <w:b w:val="0"/>
          <w:snapToGrid w:val="0"/>
          <w:color w:val="auto"/>
          <w:kern w:val="0"/>
          <w:sz w:val="32"/>
          <w:szCs w:val="32"/>
          <w:shd w:val="clear"/>
          <w:lang w:bidi="ar"/>
        </w:rPr>
        <w:t>.公司简介</w:t>
      </w:r>
      <w:r>
        <w:rPr>
          <w:rFonts w:hint="eastAsia" w:ascii="Times New Roman" w:hAnsi="Times New Roman" w:eastAsia="楷体_GB2312" w:cs="Times New Roman"/>
          <w:b w:val="0"/>
          <w:snapToGrid w:val="0"/>
          <w:color w:val="auto"/>
          <w:kern w:val="0"/>
          <w:sz w:val="32"/>
          <w:szCs w:val="32"/>
          <w:shd w:val="clear"/>
          <w:lang w:eastAsia="zh-CN" w:bidi="ar"/>
        </w:rPr>
        <w:t>：</w:t>
      </w:r>
      <w:r>
        <w:rPr>
          <w:rFonts w:hint="default" w:ascii="Times New Roman" w:hAnsi="Times New Roman" w:eastAsia="楷体_GB2312" w:cs="Times New Roman"/>
          <w:snapToGrid w:val="0"/>
          <w:color w:val="auto"/>
          <w:kern w:val="0"/>
          <w:sz w:val="32"/>
          <w:szCs w:val="32"/>
          <w:shd w:val="clear"/>
          <w:lang w:bidi="ar"/>
        </w:rPr>
        <w:t> </w:t>
      </w:r>
      <w:r>
        <w:rPr>
          <w:rFonts w:hint="default" w:ascii="Times New Roman" w:hAnsi="Times New Roman" w:eastAsia="仿宋_GB2312" w:cs="Times New Roman"/>
          <w:snapToGrid w:val="0"/>
          <w:color w:val="auto"/>
          <w:kern w:val="0"/>
          <w:sz w:val="32"/>
          <w:szCs w:val="32"/>
          <w:shd w:val="clear"/>
          <w:lang w:val="en-US" w:eastAsia="zh-CN" w:bidi="ar-SA"/>
        </w:rPr>
        <w:t>华鲁环科（辛集）水处理有限公司注册成立于</w:t>
      </w:r>
      <w:r>
        <w:rPr>
          <w:rFonts w:hint="default" w:ascii="Times New Roman" w:hAnsi="Times New Roman" w:eastAsia="仿宋_GB2312" w:cs="Times New Roman"/>
          <w:snapToGrid w:val="0"/>
          <w:color w:val="auto"/>
          <w:spacing w:val="0"/>
          <w:kern w:val="0"/>
          <w:sz w:val="32"/>
          <w:szCs w:val="32"/>
          <w:shd w:val="clear"/>
          <w:lang w:val="en-US" w:eastAsia="zh-CN" w:bidi="ar-SA"/>
        </w:rPr>
        <w:t>2021年5月30</w:t>
      </w:r>
      <w:r>
        <w:rPr>
          <w:rFonts w:hint="default" w:ascii="Times New Roman" w:hAnsi="Times New Roman" w:eastAsia="仿宋_GB2312" w:cs="Times New Roman"/>
          <w:snapToGrid w:val="0"/>
          <w:color w:val="auto"/>
          <w:kern w:val="0"/>
          <w:sz w:val="32"/>
          <w:szCs w:val="32"/>
          <w:shd w:val="clear"/>
          <w:lang w:val="en-US" w:eastAsia="zh-CN" w:bidi="ar-SA"/>
        </w:rPr>
        <w:t>日，位于河北省辛集市，是一家由辛集市国有资产控股集团有限公司、山东省环科院环境工程有限公司、中节能国祯环保科技股份有限公司三方共同出资设立的有限责任公司。公司珍视每一名员工，发现、理解和尊重他们的价值需求，共同成长，共享成果，实现共同的事业梦想。</w:t>
      </w:r>
    </w:p>
    <w:p w14:paraId="714A4A5D">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二、董事会报告摘要</w:t>
      </w:r>
    </w:p>
    <w:p w14:paraId="205CD73D">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default" w:ascii="Times New Roman" w:hAnsi="Times New Roman" w:eastAsia="楷体_GB2312" w:cs="Times New Roman"/>
          <w:snapToGrid w:val="0"/>
          <w:color w:val="auto"/>
          <w:spacing w:val="0"/>
          <w:kern w:val="0"/>
          <w:sz w:val="32"/>
          <w:szCs w:val="32"/>
          <w:lang w:val="en-US" w:eastAsia="zh-CN"/>
        </w:rPr>
      </w:pPr>
      <w:r>
        <w:rPr>
          <w:rFonts w:hint="eastAsia" w:ascii="Times New Roman" w:hAnsi="Times New Roman" w:eastAsia="楷体_GB2312" w:cs="Times New Roman"/>
          <w:snapToGrid w:val="0"/>
          <w:color w:val="auto"/>
          <w:spacing w:val="0"/>
          <w:kern w:val="0"/>
          <w:sz w:val="32"/>
          <w:szCs w:val="32"/>
          <w:lang w:eastAsia="zh-CN"/>
        </w:rPr>
        <w:t>（</w:t>
      </w:r>
      <w:r>
        <w:rPr>
          <w:rFonts w:hint="eastAsia" w:ascii="Times New Roman" w:hAnsi="Times New Roman" w:eastAsia="楷体_GB2312" w:cs="Times New Roman"/>
          <w:snapToGrid w:val="0"/>
          <w:color w:val="auto"/>
          <w:spacing w:val="0"/>
          <w:kern w:val="0"/>
          <w:sz w:val="32"/>
          <w:szCs w:val="32"/>
          <w:lang w:val="en-US" w:eastAsia="zh-CN"/>
        </w:rPr>
        <w:t>一</w:t>
      </w:r>
      <w:r>
        <w:rPr>
          <w:rFonts w:hint="eastAsia" w:ascii="Times New Roman" w:hAnsi="Times New Roman" w:eastAsia="楷体_GB2312" w:cs="Times New Roman"/>
          <w:snapToGrid w:val="0"/>
          <w:color w:val="auto"/>
          <w:spacing w:val="0"/>
          <w:kern w:val="0"/>
          <w:sz w:val="32"/>
          <w:szCs w:val="32"/>
          <w:lang w:eastAsia="zh-CN"/>
        </w:rPr>
        <w:t>）</w:t>
      </w:r>
      <w:r>
        <w:rPr>
          <w:rFonts w:hint="eastAsia" w:ascii="Times New Roman" w:hAnsi="Times New Roman" w:eastAsia="楷体_GB2312" w:cs="Times New Roman"/>
          <w:snapToGrid w:val="0"/>
          <w:color w:val="auto"/>
          <w:spacing w:val="0"/>
          <w:kern w:val="0"/>
          <w:sz w:val="32"/>
          <w:szCs w:val="32"/>
          <w:lang w:val="en-US" w:eastAsia="zh-CN"/>
        </w:rPr>
        <w:t>经营状况概述</w:t>
      </w:r>
    </w:p>
    <w:p w14:paraId="292F7BD6">
      <w:pPr>
        <w:keepNext w:val="0"/>
        <w:keepLines w:val="0"/>
        <w:pageBreakBefore w:val="0"/>
        <w:widowControl/>
        <w:kinsoku/>
        <w:wordWrap/>
        <w:overflowPunct/>
        <w:topLinePunct w:val="0"/>
        <w:autoSpaceDE/>
        <w:autoSpaceDN/>
        <w:bidi w:val="0"/>
        <w:adjustRightInd/>
        <w:snapToGrid/>
        <w:spacing w:line="579" w:lineRule="exact"/>
        <w:ind w:left="0" w:leftChars="0" w:right="0" w:firstLine="640" w:firstLineChars="200"/>
        <w:jc w:val="left"/>
        <w:textAlignment w:val="auto"/>
        <w:rPr>
          <w:rFonts w:hint="default" w:ascii="Times New Roman" w:hAnsi="Times New Roman" w:eastAsia="仿宋_GB2312" w:cs="Times New Roman"/>
          <w:color w:val="000000"/>
          <w:spacing w:val="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202</w:t>
      </w:r>
      <w:r>
        <w:rPr>
          <w:rFonts w:hint="eastAsia" w:ascii="Times New Roman" w:hAnsi="Times New Roman" w:eastAsia="仿宋_GB2312" w:cs="Times New Roman"/>
          <w:color w:val="000000"/>
          <w:kern w:val="0"/>
          <w:sz w:val="32"/>
          <w:szCs w:val="32"/>
          <w:shd w:val="clear" w:color="auto" w:fill="FFFFFF"/>
          <w:lang w:val="en-US" w:eastAsia="zh-CN"/>
        </w:rPr>
        <w:t>5</w:t>
      </w:r>
      <w:r>
        <w:rPr>
          <w:rFonts w:hint="default" w:ascii="Times New Roman" w:hAnsi="Times New Roman" w:eastAsia="仿宋_GB2312" w:cs="Times New Roman"/>
          <w:color w:val="000000"/>
          <w:kern w:val="0"/>
          <w:sz w:val="32"/>
          <w:szCs w:val="32"/>
          <w:shd w:val="clear" w:color="auto" w:fill="FFFFFF"/>
          <w:lang w:val="en-US" w:eastAsia="zh-CN"/>
        </w:rPr>
        <w:t>年，公司</w:t>
      </w:r>
      <w:r>
        <w:rPr>
          <w:rFonts w:hint="default" w:eastAsia="仿宋_GB2312"/>
          <w:kern w:val="0"/>
          <w:sz w:val="32"/>
          <w:szCs w:val="32"/>
          <w:lang w:val="en-US" w:eastAsia="zh-CN"/>
        </w:rPr>
        <w:t>认真贯彻落实院公司决策部署</w:t>
      </w:r>
      <w:r>
        <w:rPr>
          <w:rFonts w:hint="default" w:ascii="Times New Roman" w:hAnsi="Times New Roman" w:eastAsia="仿宋_GB2312" w:cs="Times New Roman"/>
          <w:color w:val="000000"/>
          <w:kern w:val="0"/>
          <w:sz w:val="32"/>
          <w:szCs w:val="32"/>
          <w:shd w:val="clear" w:color="auto" w:fill="FFFFFF"/>
          <w:lang w:val="en-US" w:eastAsia="zh-CN"/>
        </w:rPr>
        <w:t>，推动各项战略目标顺利实施，取得了显著的成效。</w:t>
      </w:r>
      <w:r>
        <w:rPr>
          <w:rFonts w:hint="default" w:ascii="Times New Roman" w:hAnsi="Times New Roman" w:eastAsia="仿宋_GB2312" w:cs="Times New Roman"/>
          <w:color w:val="000000"/>
          <w:kern w:val="0"/>
          <w:sz w:val="32"/>
          <w:szCs w:val="32"/>
          <w:shd w:val="clear" w:color="auto" w:fill="FFFFFF"/>
        </w:rPr>
        <w:t>公司严格执行国家环保法规和行业技术标准，始终以保障出水水质稳定达标为核心目标，通过科学管理和技术创新，不断优化污水处理</w:t>
      </w:r>
      <w:r>
        <w:rPr>
          <w:rFonts w:hint="default" w:ascii="Times New Roman" w:hAnsi="Times New Roman" w:eastAsia="仿宋_GB2312" w:cs="Times New Roman"/>
          <w:color w:val="000000"/>
          <w:kern w:val="0"/>
          <w:sz w:val="32"/>
          <w:szCs w:val="32"/>
          <w:shd w:val="clear" w:color="auto" w:fill="FFFFFF"/>
          <w:lang w:val="en-US" w:eastAsia="zh-CN"/>
        </w:rPr>
        <w:t>工艺、药剂投加以及进水水质监控系统</w:t>
      </w:r>
      <w:r>
        <w:rPr>
          <w:rFonts w:hint="default" w:ascii="Times New Roman" w:hAnsi="Times New Roman" w:eastAsia="仿宋_GB2312" w:cs="Times New Roman"/>
          <w:color w:val="000000"/>
          <w:kern w:val="0"/>
          <w:sz w:val="32"/>
          <w:szCs w:val="32"/>
          <w:shd w:val="clear" w:color="auto" w:fill="FFFFFF"/>
        </w:rPr>
        <w:t>，确保高效稳定的生产运营。</w:t>
      </w:r>
      <w:r>
        <w:rPr>
          <w:rFonts w:hint="default" w:ascii="Times New Roman" w:hAnsi="Times New Roman" w:eastAsia="仿宋_GB2312" w:cs="Times New Roman"/>
          <w:color w:val="000000"/>
          <w:spacing w:val="0"/>
          <w:kern w:val="0"/>
          <w:sz w:val="32"/>
          <w:szCs w:val="32"/>
          <w:shd w:val="clear" w:color="auto" w:fill="FFFFFF"/>
          <w:lang w:val="en-US" w:eastAsia="zh-CN"/>
        </w:rPr>
        <w:t>202</w:t>
      </w:r>
      <w:r>
        <w:rPr>
          <w:rFonts w:hint="eastAsia" w:ascii="Times New Roman" w:hAnsi="Times New Roman" w:eastAsia="仿宋_GB2312" w:cs="Times New Roman"/>
          <w:color w:val="000000"/>
          <w:spacing w:val="0"/>
          <w:kern w:val="0"/>
          <w:sz w:val="32"/>
          <w:szCs w:val="32"/>
          <w:shd w:val="clear" w:color="auto" w:fill="FFFFFF"/>
          <w:lang w:val="en-US" w:eastAsia="zh-CN"/>
        </w:rPr>
        <w:t>5</w:t>
      </w:r>
      <w:r>
        <w:rPr>
          <w:rFonts w:hint="default" w:ascii="Times New Roman" w:hAnsi="Times New Roman" w:eastAsia="仿宋_GB2312" w:cs="Times New Roman"/>
          <w:color w:val="000000"/>
          <w:spacing w:val="0"/>
          <w:kern w:val="0"/>
          <w:sz w:val="32"/>
          <w:szCs w:val="32"/>
          <w:shd w:val="clear" w:color="auto" w:fill="FFFFFF"/>
          <w:lang w:val="en-US" w:eastAsia="zh-CN"/>
        </w:rPr>
        <w:t>年度运营总体情况良好。</w:t>
      </w:r>
    </w:p>
    <w:p w14:paraId="45F68484">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default" w:ascii="Times New Roman" w:hAnsi="Times New Roman" w:eastAsia="楷体_GB2312" w:cs="Times New Roman"/>
          <w:snapToGrid w:val="0"/>
          <w:color w:val="auto"/>
          <w:spacing w:val="0"/>
          <w:kern w:val="0"/>
          <w:sz w:val="32"/>
          <w:szCs w:val="32"/>
          <w:lang w:val="en-US" w:eastAsia="zh-CN"/>
        </w:rPr>
      </w:pPr>
      <w:r>
        <w:rPr>
          <w:rFonts w:hint="eastAsia" w:ascii="Times New Roman" w:hAnsi="Times New Roman" w:eastAsia="楷体_GB2312" w:cs="Times New Roman"/>
          <w:snapToGrid w:val="0"/>
          <w:color w:val="auto"/>
          <w:spacing w:val="0"/>
          <w:kern w:val="0"/>
          <w:sz w:val="32"/>
          <w:szCs w:val="32"/>
          <w:lang w:eastAsia="zh-CN"/>
        </w:rPr>
        <w:t>（</w:t>
      </w:r>
      <w:r>
        <w:rPr>
          <w:rFonts w:hint="eastAsia" w:ascii="Times New Roman" w:hAnsi="Times New Roman" w:eastAsia="楷体_GB2312" w:cs="Times New Roman"/>
          <w:snapToGrid w:val="0"/>
          <w:color w:val="auto"/>
          <w:spacing w:val="0"/>
          <w:kern w:val="0"/>
          <w:sz w:val="32"/>
          <w:szCs w:val="32"/>
          <w:lang w:val="en-US" w:eastAsia="zh-CN"/>
        </w:rPr>
        <w:t>二</w:t>
      </w:r>
      <w:r>
        <w:rPr>
          <w:rFonts w:hint="eastAsia" w:ascii="Times New Roman" w:hAnsi="Times New Roman" w:eastAsia="楷体_GB2312" w:cs="Times New Roman"/>
          <w:snapToGrid w:val="0"/>
          <w:color w:val="auto"/>
          <w:spacing w:val="0"/>
          <w:kern w:val="0"/>
          <w:sz w:val="32"/>
          <w:szCs w:val="32"/>
          <w:lang w:eastAsia="zh-CN"/>
        </w:rPr>
        <w:t>）</w:t>
      </w:r>
      <w:r>
        <w:rPr>
          <w:rFonts w:hint="default" w:ascii="Times New Roman" w:hAnsi="Times New Roman" w:eastAsia="楷体_GB2312" w:cs="Times New Roman"/>
          <w:snapToGrid w:val="0"/>
          <w:color w:val="auto"/>
          <w:spacing w:val="0"/>
          <w:kern w:val="0"/>
          <w:sz w:val="32"/>
          <w:szCs w:val="32"/>
          <w:lang w:eastAsia="zh-CN"/>
        </w:rPr>
        <w:t>全面风险管理或内部控制体系建设情况</w:t>
      </w:r>
    </w:p>
    <w:p w14:paraId="6C7A3726">
      <w:pPr>
        <w:keepNext w:val="0"/>
        <w:keepLines w:val="0"/>
        <w:pageBreakBefore w:val="0"/>
        <w:widowControl/>
        <w:kinsoku/>
        <w:wordWrap/>
        <w:overflowPunct/>
        <w:topLinePunct w:val="0"/>
        <w:autoSpaceDE/>
        <w:autoSpaceDN/>
        <w:bidi w:val="0"/>
        <w:adjustRightInd/>
        <w:snapToGrid/>
        <w:spacing w:line="579" w:lineRule="exact"/>
        <w:ind w:left="0" w:leftChars="0" w:right="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按照院公司IPO上市工作及合规内控要求，公司已初步构建了系统化的风险管理框架，印发了决策制度、安全管理制度、生产经营管理制度、人力资源管理制度、财务管理制度等百余项制度文件，这些制度涵盖了公司运营的各个方面，为公司风险管理提供了坚实的制度保障。全年未发生重大风险事件。</w:t>
      </w:r>
    </w:p>
    <w:p w14:paraId="4460AF33">
      <w:pPr>
        <w:keepNext w:val="0"/>
        <w:keepLines w:val="0"/>
        <w:pageBreakBefore w:val="0"/>
        <w:widowControl/>
        <w:numPr>
          <w:ilvl w:val="0"/>
          <w:numId w:val="0"/>
        </w:numPr>
        <w:kinsoku/>
        <w:wordWrap/>
        <w:overflowPunct/>
        <w:topLinePunct w:val="0"/>
        <w:bidi w:val="0"/>
        <w:snapToGrid/>
        <w:spacing w:line="579" w:lineRule="exact"/>
        <w:ind w:firstLine="640" w:firstLineChars="200"/>
        <w:jc w:val="left"/>
        <w:textAlignment w:val="auto"/>
        <w:rPr>
          <w:rFonts w:ascii="黑体" w:hAnsi="宋体" w:eastAsia="黑体" w:cs="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lang w:val="en-US" w:eastAsia="zh-CN"/>
        </w:rPr>
        <w:t>三、</w:t>
      </w:r>
      <w:r>
        <w:rPr>
          <w:rFonts w:ascii="黑体" w:hAnsi="宋体" w:eastAsia="黑体" w:cs="黑体"/>
          <w:color w:val="000000"/>
          <w:kern w:val="0"/>
          <w:sz w:val="32"/>
          <w:szCs w:val="32"/>
          <w:shd w:val="clear" w:color="auto" w:fill="FFFFFF"/>
        </w:rPr>
        <w:t>董事</w:t>
      </w:r>
      <w:r>
        <w:rPr>
          <w:rFonts w:ascii="黑体" w:hAnsi="宋体" w:eastAsia="黑体" w:cs="黑体"/>
          <w:color w:val="auto"/>
          <w:kern w:val="0"/>
          <w:sz w:val="32"/>
          <w:szCs w:val="32"/>
          <w:shd w:val="clear" w:color="auto" w:fill="FFFFFF"/>
        </w:rPr>
        <w:t>、</w:t>
      </w:r>
      <w:r>
        <w:rPr>
          <w:rFonts w:ascii="黑体" w:hAnsi="宋体" w:eastAsia="黑体" w:cs="黑体"/>
          <w:color w:val="000000"/>
          <w:kern w:val="0"/>
          <w:sz w:val="32"/>
          <w:szCs w:val="32"/>
          <w:shd w:val="clear" w:color="auto" w:fill="FFFFFF"/>
        </w:rPr>
        <w:t>高级管理人员的任职情况（截至202</w:t>
      </w:r>
      <w:r>
        <w:rPr>
          <w:rFonts w:hint="default" w:ascii="黑体" w:hAnsi="宋体" w:eastAsia="黑体" w:cs="黑体"/>
          <w:color w:val="000000"/>
          <w:kern w:val="0"/>
          <w:sz w:val="32"/>
          <w:szCs w:val="32"/>
          <w:shd w:val="clear" w:color="auto" w:fill="FFFFFF"/>
          <w:lang w:val="en-US" w:eastAsia="zh-CN"/>
        </w:rPr>
        <w:t>5</w:t>
      </w:r>
      <w:r>
        <w:rPr>
          <w:rFonts w:ascii="黑体" w:hAnsi="宋体" w:eastAsia="黑体" w:cs="黑体"/>
          <w:color w:val="000000"/>
          <w:kern w:val="0"/>
          <w:sz w:val="32"/>
          <w:szCs w:val="32"/>
          <w:shd w:val="clear" w:color="auto" w:fill="FFFFFF"/>
        </w:rPr>
        <w:t>年12月）</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3605"/>
        <w:gridCol w:w="850"/>
        <w:gridCol w:w="851"/>
        <w:gridCol w:w="1780"/>
      </w:tblGrid>
      <w:tr w14:paraId="1EB8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10" w:type="dxa"/>
            <w:vAlign w:val="center"/>
          </w:tcPr>
          <w:p w14:paraId="7328DBF4">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姓名</w:t>
            </w:r>
          </w:p>
        </w:tc>
        <w:tc>
          <w:tcPr>
            <w:tcW w:w="3605" w:type="dxa"/>
            <w:vAlign w:val="center"/>
          </w:tcPr>
          <w:p w14:paraId="211FE996">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职务</w:t>
            </w:r>
          </w:p>
        </w:tc>
        <w:tc>
          <w:tcPr>
            <w:tcW w:w="850" w:type="dxa"/>
            <w:vAlign w:val="center"/>
          </w:tcPr>
          <w:p w14:paraId="6E79E8AE">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性别</w:t>
            </w:r>
          </w:p>
        </w:tc>
        <w:tc>
          <w:tcPr>
            <w:tcW w:w="851" w:type="dxa"/>
            <w:vAlign w:val="center"/>
          </w:tcPr>
          <w:p w14:paraId="1B1F0C62">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年龄</w:t>
            </w:r>
          </w:p>
        </w:tc>
        <w:tc>
          <w:tcPr>
            <w:tcW w:w="1780" w:type="dxa"/>
            <w:vAlign w:val="center"/>
          </w:tcPr>
          <w:p w14:paraId="6372E537">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任现职时间</w:t>
            </w:r>
          </w:p>
        </w:tc>
      </w:tr>
      <w:tr w14:paraId="1CD6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0" w:type="dxa"/>
            <w:vAlign w:val="center"/>
          </w:tcPr>
          <w:p w14:paraId="3FE0041C">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胡以福</w:t>
            </w:r>
          </w:p>
        </w:tc>
        <w:tc>
          <w:tcPr>
            <w:tcW w:w="3605" w:type="dxa"/>
            <w:vAlign w:val="center"/>
          </w:tcPr>
          <w:p w14:paraId="356FCF23">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rPr>
              <w:t>董事</w:t>
            </w:r>
            <w:r>
              <w:rPr>
                <w:rFonts w:hint="eastAsia" w:ascii="Times New Roman" w:hAnsi="Times New Roman" w:eastAsia="仿宋_GB2312" w:cs="Times New Roman"/>
                <w:sz w:val="28"/>
                <w:szCs w:val="28"/>
                <w:lang w:val="en-US" w:eastAsia="zh-CN"/>
              </w:rPr>
              <w:t>长</w:t>
            </w:r>
          </w:p>
        </w:tc>
        <w:tc>
          <w:tcPr>
            <w:tcW w:w="850" w:type="dxa"/>
            <w:vAlign w:val="center"/>
          </w:tcPr>
          <w:p w14:paraId="52DACF76">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男</w:t>
            </w:r>
          </w:p>
        </w:tc>
        <w:tc>
          <w:tcPr>
            <w:tcW w:w="851" w:type="dxa"/>
            <w:vAlign w:val="center"/>
          </w:tcPr>
          <w:p w14:paraId="679FEBDB">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52</w:t>
            </w:r>
          </w:p>
        </w:tc>
        <w:tc>
          <w:tcPr>
            <w:tcW w:w="1780" w:type="dxa"/>
            <w:vAlign w:val="center"/>
          </w:tcPr>
          <w:p w14:paraId="1865160A">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bidi="ar-SA"/>
              </w:rPr>
              <w:t>20</w:t>
            </w:r>
            <w:r>
              <w:rPr>
                <w:rFonts w:hint="eastAsia" w:ascii="Times New Roman" w:hAnsi="Times New Roman" w:eastAsia="仿宋_GB2312" w:cs="Times New Roman"/>
                <w:snapToGrid w:val="0"/>
                <w:color w:val="auto"/>
                <w:spacing w:val="0"/>
                <w:kern w:val="0"/>
                <w:sz w:val="32"/>
                <w:szCs w:val="32"/>
                <w:lang w:val="en-US" w:eastAsia="zh-CN" w:bidi="ar-SA"/>
              </w:rPr>
              <w:t>24.</w:t>
            </w:r>
            <w:r>
              <w:rPr>
                <w:rFonts w:hint="default" w:ascii="Times New Roman" w:hAnsi="Times New Roman" w:eastAsia="仿宋_GB2312" w:cs="Times New Roman"/>
                <w:snapToGrid w:val="0"/>
                <w:color w:val="auto"/>
                <w:spacing w:val="0"/>
                <w:kern w:val="0"/>
                <w:sz w:val="32"/>
                <w:szCs w:val="32"/>
                <w:lang w:val="en-US" w:eastAsia="zh-CN" w:bidi="ar-SA"/>
              </w:rPr>
              <w:t>0</w:t>
            </w:r>
            <w:r>
              <w:rPr>
                <w:rFonts w:hint="eastAsia" w:ascii="Times New Roman" w:hAnsi="Times New Roman" w:eastAsia="仿宋_GB2312" w:cs="Times New Roman"/>
                <w:snapToGrid w:val="0"/>
                <w:color w:val="auto"/>
                <w:spacing w:val="0"/>
                <w:kern w:val="0"/>
                <w:sz w:val="32"/>
                <w:szCs w:val="32"/>
                <w:lang w:val="en-US" w:eastAsia="zh-CN" w:bidi="ar-SA"/>
              </w:rPr>
              <w:t>6</w:t>
            </w:r>
          </w:p>
        </w:tc>
      </w:tr>
      <w:tr w14:paraId="4198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10" w:type="dxa"/>
            <w:vAlign w:val="center"/>
          </w:tcPr>
          <w:p w14:paraId="76AA2FEE">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苟晓东</w:t>
            </w:r>
          </w:p>
        </w:tc>
        <w:tc>
          <w:tcPr>
            <w:tcW w:w="3605" w:type="dxa"/>
            <w:vAlign w:val="center"/>
          </w:tcPr>
          <w:p w14:paraId="0A740706">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董事、</w:t>
            </w:r>
            <w:r>
              <w:rPr>
                <w:rFonts w:hint="eastAsia" w:ascii="Times New Roman" w:hAnsi="Times New Roman" w:eastAsia="仿宋_GB2312" w:cs="Times New Roman"/>
                <w:sz w:val="28"/>
                <w:szCs w:val="28"/>
              </w:rPr>
              <w:t>总经理</w:t>
            </w:r>
          </w:p>
        </w:tc>
        <w:tc>
          <w:tcPr>
            <w:tcW w:w="850" w:type="dxa"/>
            <w:vAlign w:val="center"/>
          </w:tcPr>
          <w:p w14:paraId="42C93592">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男</w:t>
            </w:r>
          </w:p>
        </w:tc>
        <w:tc>
          <w:tcPr>
            <w:tcW w:w="851" w:type="dxa"/>
            <w:vAlign w:val="center"/>
          </w:tcPr>
          <w:p w14:paraId="781CF86A">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43</w:t>
            </w:r>
          </w:p>
        </w:tc>
        <w:tc>
          <w:tcPr>
            <w:tcW w:w="1780" w:type="dxa"/>
            <w:vAlign w:val="center"/>
          </w:tcPr>
          <w:p w14:paraId="7F0F3377">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bidi="ar-SA"/>
              </w:rPr>
              <w:t>20</w:t>
            </w:r>
            <w:r>
              <w:rPr>
                <w:rFonts w:hint="eastAsia" w:ascii="Times New Roman" w:hAnsi="Times New Roman" w:eastAsia="仿宋_GB2312" w:cs="Times New Roman"/>
                <w:snapToGrid w:val="0"/>
                <w:color w:val="auto"/>
                <w:spacing w:val="0"/>
                <w:kern w:val="0"/>
                <w:sz w:val="32"/>
                <w:szCs w:val="32"/>
                <w:lang w:val="en-US" w:eastAsia="zh-CN" w:bidi="ar-SA"/>
              </w:rPr>
              <w:t>21.</w:t>
            </w:r>
            <w:r>
              <w:rPr>
                <w:rFonts w:hint="default" w:ascii="Times New Roman" w:hAnsi="Times New Roman" w:eastAsia="仿宋_GB2312" w:cs="Times New Roman"/>
                <w:snapToGrid w:val="0"/>
                <w:color w:val="auto"/>
                <w:spacing w:val="0"/>
                <w:kern w:val="0"/>
                <w:sz w:val="32"/>
                <w:szCs w:val="32"/>
                <w:lang w:val="en-US" w:eastAsia="zh-CN" w:bidi="ar-SA"/>
              </w:rPr>
              <w:t>0</w:t>
            </w:r>
            <w:r>
              <w:rPr>
                <w:rFonts w:hint="eastAsia" w:ascii="Times New Roman" w:hAnsi="Times New Roman" w:eastAsia="仿宋_GB2312" w:cs="Times New Roman"/>
                <w:snapToGrid w:val="0"/>
                <w:color w:val="auto"/>
                <w:spacing w:val="0"/>
                <w:kern w:val="0"/>
                <w:sz w:val="32"/>
                <w:szCs w:val="32"/>
                <w:lang w:val="en-US" w:eastAsia="zh-CN" w:bidi="ar-SA"/>
              </w:rPr>
              <w:t>4</w:t>
            </w:r>
          </w:p>
        </w:tc>
      </w:tr>
      <w:tr w14:paraId="50CF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0" w:type="dxa"/>
            <w:vAlign w:val="center"/>
          </w:tcPr>
          <w:p w14:paraId="44AF96B5">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靖玉明</w:t>
            </w:r>
          </w:p>
        </w:tc>
        <w:tc>
          <w:tcPr>
            <w:tcW w:w="3605" w:type="dxa"/>
            <w:vAlign w:val="center"/>
          </w:tcPr>
          <w:p w14:paraId="641C9A90">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董</w:t>
            </w:r>
            <w:r>
              <w:rPr>
                <w:rFonts w:ascii="Times New Roman" w:hAnsi="Times New Roman" w:eastAsia="仿宋_GB2312" w:cs="Times New Roman"/>
                <w:sz w:val="28"/>
                <w:szCs w:val="28"/>
              </w:rPr>
              <w:t>事</w:t>
            </w:r>
          </w:p>
        </w:tc>
        <w:tc>
          <w:tcPr>
            <w:tcW w:w="850" w:type="dxa"/>
            <w:vAlign w:val="center"/>
          </w:tcPr>
          <w:p w14:paraId="5F13C989">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kern w:val="2"/>
                <w:sz w:val="28"/>
                <w:szCs w:val="28"/>
                <w:lang w:val="en-US" w:eastAsia="zh-CN" w:bidi="ar-SA"/>
              </w:rPr>
            </w:pPr>
            <w:r>
              <w:rPr>
                <w:rFonts w:ascii="Times New Roman" w:hAnsi="Times New Roman" w:eastAsia="仿宋_GB2312" w:cs="Times New Roman"/>
                <w:sz w:val="28"/>
                <w:szCs w:val="28"/>
              </w:rPr>
              <w:t>男</w:t>
            </w:r>
          </w:p>
        </w:tc>
        <w:tc>
          <w:tcPr>
            <w:tcW w:w="851" w:type="dxa"/>
            <w:vAlign w:val="center"/>
          </w:tcPr>
          <w:p w14:paraId="6154C4A9">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43</w:t>
            </w:r>
          </w:p>
        </w:tc>
        <w:tc>
          <w:tcPr>
            <w:tcW w:w="1780" w:type="dxa"/>
            <w:vAlign w:val="center"/>
          </w:tcPr>
          <w:p w14:paraId="43D1E4D4">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bidi="ar-SA"/>
              </w:rPr>
              <w:t>20</w:t>
            </w:r>
            <w:r>
              <w:rPr>
                <w:rFonts w:hint="eastAsia" w:ascii="Times New Roman" w:hAnsi="Times New Roman" w:eastAsia="仿宋_GB2312" w:cs="Times New Roman"/>
                <w:snapToGrid w:val="0"/>
                <w:color w:val="auto"/>
                <w:spacing w:val="0"/>
                <w:kern w:val="0"/>
                <w:sz w:val="32"/>
                <w:szCs w:val="32"/>
                <w:lang w:val="en-US" w:eastAsia="zh-CN" w:bidi="ar-SA"/>
              </w:rPr>
              <w:t>21.</w:t>
            </w:r>
            <w:r>
              <w:rPr>
                <w:rFonts w:hint="default" w:ascii="Times New Roman" w:hAnsi="Times New Roman" w:eastAsia="仿宋_GB2312" w:cs="Times New Roman"/>
                <w:snapToGrid w:val="0"/>
                <w:color w:val="auto"/>
                <w:spacing w:val="0"/>
                <w:kern w:val="0"/>
                <w:sz w:val="32"/>
                <w:szCs w:val="32"/>
                <w:lang w:val="en-US" w:eastAsia="zh-CN" w:bidi="ar-SA"/>
              </w:rPr>
              <w:t>0</w:t>
            </w:r>
            <w:r>
              <w:rPr>
                <w:rFonts w:hint="eastAsia" w:ascii="Times New Roman" w:hAnsi="Times New Roman" w:eastAsia="仿宋_GB2312" w:cs="Times New Roman"/>
                <w:snapToGrid w:val="0"/>
                <w:color w:val="auto"/>
                <w:spacing w:val="0"/>
                <w:kern w:val="0"/>
                <w:sz w:val="32"/>
                <w:szCs w:val="32"/>
                <w:lang w:val="en-US" w:eastAsia="zh-CN" w:bidi="ar-SA"/>
              </w:rPr>
              <w:t>4</w:t>
            </w:r>
          </w:p>
        </w:tc>
      </w:tr>
      <w:tr w14:paraId="69DB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0" w:type="dxa"/>
            <w:vAlign w:val="center"/>
          </w:tcPr>
          <w:p w14:paraId="1760DFB3">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马  坤</w:t>
            </w:r>
          </w:p>
        </w:tc>
        <w:tc>
          <w:tcPr>
            <w:tcW w:w="3605" w:type="dxa"/>
            <w:vAlign w:val="center"/>
          </w:tcPr>
          <w:p w14:paraId="11C21E50">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职工董</w:t>
            </w:r>
            <w:r>
              <w:rPr>
                <w:rFonts w:ascii="Times New Roman" w:hAnsi="Times New Roman" w:eastAsia="仿宋_GB2312" w:cs="Times New Roman"/>
                <w:sz w:val="28"/>
                <w:szCs w:val="28"/>
              </w:rPr>
              <w:t>事</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副总经理</w:t>
            </w:r>
          </w:p>
        </w:tc>
        <w:tc>
          <w:tcPr>
            <w:tcW w:w="850" w:type="dxa"/>
            <w:vAlign w:val="center"/>
          </w:tcPr>
          <w:p w14:paraId="2552D7AD">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男</w:t>
            </w:r>
          </w:p>
        </w:tc>
        <w:tc>
          <w:tcPr>
            <w:tcW w:w="851" w:type="dxa"/>
            <w:vAlign w:val="center"/>
          </w:tcPr>
          <w:p w14:paraId="5E77EF8B">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38</w:t>
            </w:r>
          </w:p>
        </w:tc>
        <w:tc>
          <w:tcPr>
            <w:tcW w:w="1780" w:type="dxa"/>
            <w:vAlign w:val="center"/>
          </w:tcPr>
          <w:p w14:paraId="094E1793">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bidi="ar-SA"/>
              </w:rPr>
              <w:t>20</w:t>
            </w:r>
            <w:r>
              <w:rPr>
                <w:rFonts w:hint="eastAsia" w:ascii="Times New Roman" w:hAnsi="Times New Roman" w:eastAsia="仿宋_GB2312" w:cs="Times New Roman"/>
                <w:snapToGrid w:val="0"/>
                <w:color w:val="auto"/>
                <w:spacing w:val="0"/>
                <w:kern w:val="0"/>
                <w:sz w:val="32"/>
                <w:szCs w:val="32"/>
                <w:lang w:val="en-US" w:eastAsia="zh-CN" w:bidi="ar-SA"/>
              </w:rPr>
              <w:t>21.</w:t>
            </w:r>
            <w:r>
              <w:rPr>
                <w:rFonts w:hint="default" w:ascii="Times New Roman" w:hAnsi="Times New Roman" w:eastAsia="仿宋_GB2312" w:cs="Times New Roman"/>
                <w:snapToGrid w:val="0"/>
                <w:color w:val="auto"/>
                <w:spacing w:val="0"/>
                <w:kern w:val="0"/>
                <w:sz w:val="32"/>
                <w:szCs w:val="32"/>
                <w:lang w:val="en-US" w:eastAsia="zh-CN" w:bidi="ar-SA"/>
              </w:rPr>
              <w:t>0</w:t>
            </w:r>
            <w:r>
              <w:rPr>
                <w:rFonts w:hint="eastAsia" w:ascii="Times New Roman" w:hAnsi="Times New Roman" w:eastAsia="仿宋_GB2312" w:cs="Times New Roman"/>
                <w:snapToGrid w:val="0"/>
                <w:color w:val="auto"/>
                <w:spacing w:val="0"/>
                <w:kern w:val="0"/>
                <w:sz w:val="32"/>
                <w:szCs w:val="32"/>
                <w:lang w:val="en-US" w:eastAsia="zh-CN" w:bidi="ar-SA"/>
              </w:rPr>
              <w:t>4</w:t>
            </w:r>
          </w:p>
        </w:tc>
      </w:tr>
      <w:tr w14:paraId="52DD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0" w:type="dxa"/>
            <w:vAlign w:val="center"/>
          </w:tcPr>
          <w:p w14:paraId="2B6C6B56">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刘  甲</w:t>
            </w:r>
          </w:p>
        </w:tc>
        <w:tc>
          <w:tcPr>
            <w:tcW w:w="3605" w:type="dxa"/>
            <w:vAlign w:val="center"/>
          </w:tcPr>
          <w:p w14:paraId="26905E7F">
            <w:pPr>
              <w:keepNext w:val="0"/>
              <w:keepLines w:val="0"/>
              <w:pageBreakBefore w:val="0"/>
              <w:widowControl/>
              <w:kinsoku/>
              <w:wordWrap/>
              <w:overflowPunct/>
              <w:topLinePunct w:val="0"/>
              <w:bidi w:val="0"/>
              <w:snapToGrid/>
              <w:spacing w:line="540" w:lineRule="exact"/>
              <w:jc w:val="center"/>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董</w:t>
            </w:r>
            <w:r>
              <w:rPr>
                <w:rFonts w:ascii="Times New Roman" w:hAnsi="Times New Roman" w:eastAsia="仿宋_GB2312" w:cs="Times New Roman"/>
                <w:sz w:val="28"/>
                <w:szCs w:val="28"/>
              </w:rPr>
              <w:t>事</w:t>
            </w:r>
          </w:p>
        </w:tc>
        <w:tc>
          <w:tcPr>
            <w:tcW w:w="850" w:type="dxa"/>
            <w:vAlign w:val="center"/>
          </w:tcPr>
          <w:p w14:paraId="02A6A3D1">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男</w:t>
            </w:r>
          </w:p>
        </w:tc>
        <w:tc>
          <w:tcPr>
            <w:tcW w:w="851" w:type="dxa"/>
            <w:vAlign w:val="center"/>
          </w:tcPr>
          <w:p w14:paraId="7051FE62">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38</w:t>
            </w:r>
          </w:p>
        </w:tc>
        <w:tc>
          <w:tcPr>
            <w:tcW w:w="1780" w:type="dxa"/>
            <w:vAlign w:val="center"/>
          </w:tcPr>
          <w:p w14:paraId="1B503619">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仿宋_GB2312" w:cs="Times New Roman"/>
                <w:snapToGrid w:val="0"/>
                <w:color w:val="auto"/>
                <w:spacing w:val="0"/>
                <w:kern w:val="0"/>
                <w:sz w:val="32"/>
                <w:szCs w:val="32"/>
                <w:lang w:val="en-US" w:eastAsia="zh-CN" w:bidi="ar-SA"/>
              </w:rPr>
              <w:t>20</w:t>
            </w:r>
            <w:r>
              <w:rPr>
                <w:rFonts w:hint="eastAsia" w:ascii="Times New Roman" w:hAnsi="Times New Roman" w:eastAsia="仿宋_GB2312" w:cs="Times New Roman"/>
                <w:snapToGrid w:val="0"/>
                <w:color w:val="auto"/>
                <w:spacing w:val="0"/>
                <w:kern w:val="0"/>
                <w:sz w:val="32"/>
                <w:szCs w:val="32"/>
                <w:lang w:val="en-US" w:eastAsia="zh-CN" w:bidi="ar-SA"/>
              </w:rPr>
              <w:t>23.</w:t>
            </w:r>
            <w:r>
              <w:rPr>
                <w:rFonts w:hint="default" w:ascii="Times New Roman" w:hAnsi="Times New Roman" w:eastAsia="仿宋_GB2312" w:cs="Times New Roman"/>
                <w:snapToGrid w:val="0"/>
                <w:color w:val="auto"/>
                <w:spacing w:val="0"/>
                <w:kern w:val="0"/>
                <w:sz w:val="32"/>
                <w:szCs w:val="32"/>
                <w:lang w:val="en-US" w:eastAsia="zh-CN" w:bidi="ar-SA"/>
              </w:rPr>
              <w:t>0</w:t>
            </w:r>
            <w:r>
              <w:rPr>
                <w:rFonts w:hint="eastAsia" w:ascii="Times New Roman" w:hAnsi="Times New Roman" w:eastAsia="仿宋_GB2312" w:cs="Times New Roman"/>
                <w:snapToGrid w:val="0"/>
                <w:color w:val="auto"/>
                <w:spacing w:val="0"/>
                <w:kern w:val="0"/>
                <w:sz w:val="32"/>
                <w:szCs w:val="32"/>
                <w:lang w:val="en-US" w:eastAsia="zh-CN" w:bidi="ar-SA"/>
              </w:rPr>
              <w:t>3</w:t>
            </w:r>
          </w:p>
        </w:tc>
      </w:tr>
      <w:tr w14:paraId="59A1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0" w:type="dxa"/>
            <w:vAlign w:val="center"/>
          </w:tcPr>
          <w:p w14:paraId="7429A31B">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刘毅峰</w:t>
            </w:r>
          </w:p>
        </w:tc>
        <w:tc>
          <w:tcPr>
            <w:tcW w:w="3605" w:type="dxa"/>
            <w:vAlign w:val="center"/>
          </w:tcPr>
          <w:p w14:paraId="03D96F18">
            <w:pPr>
              <w:keepNext w:val="0"/>
              <w:keepLines w:val="0"/>
              <w:pageBreakBefore w:val="0"/>
              <w:widowControl/>
              <w:kinsoku/>
              <w:wordWrap/>
              <w:overflowPunct/>
              <w:topLinePunct w:val="0"/>
              <w:bidi w:val="0"/>
              <w:snapToGrid/>
              <w:spacing w:line="54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副总经理</w:t>
            </w:r>
          </w:p>
        </w:tc>
        <w:tc>
          <w:tcPr>
            <w:tcW w:w="850" w:type="dxa"/>
            <w:vAlign w:val="center"/>
          </w:tcPr>
          <w:p w14:paraId="1DE072E9">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男</w:t>
            </w:r>
          </w:p>
        </w:tc>
        <w:tc>
          <w:tcPr>
            <w:tcW w:w="851" w:type="dxa"/>
            <w:vAlign w:val="center"/>
          </w:tcPr>
          <w:p w14:paraId="46F3AF91">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47</w:t>
            </w:r>
          </w:p>
        </w:tc>
        <w:tc>
          <w:tcPr>
            <w:tcW w:w="1780" w:type="dxa"/>
            <w:vAlign w:val="center"/>
          </w:tcPr>
          <w:p w14:paraId="0FC865A5">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2024.06</w:t>
            </w:r>
          </w:p>
        </w:tc>
      </w:tr>
      <w:tr w14:paraId="2493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0" w:type="dxa"/>
            <w:vAlign w:val="center"/>
          </w:tcPr>
          <w:p w14:paraId="618EDB6B">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张芙蓉</w:t>
            </w:r>
          </w:p>
        </w:tc>
        <w:tc>
          <w:tcPr>
            <w:tcW w:w="3605" w:type="dxa"/>
            <w:vAlign w:val="center"/>
          </w:tcPr>
          <w:p w14:paraId="4037C89A">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副总经理</w:t>
            </w:r>
          </w:p>
        </w:tc>
        <w:tc>
          <w:tcPr>
            <w:tcW w:w="850" w:type="dxa"/>
            <w:vAlign w:val="center"/>
          </w:tcPr>
          <w:p w14:paraId="289D1BF1">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女</w:t>
            </w:r>
          </w:p>
        </w:tc>
        <w:tc>
          <w:tcPr>
            <w:tcW w:w="851" w:type="dxa"/>
            <w:vAlign w:val="center"/>
          </w:tcPr>
          <w:p w14:paraId="4E4C7976">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46</w:t>
            </w:r>
          </w:p>
        </w:tc>
        <w:tc>
          <w:tcPr>
            <w:tcW w:w="1780" w:type="dxa"/>
            <w:vAlign w:val="center"/>
          </w:tcPr>
          <w:p w14:paraId="4CF2E89D">
            <w:pPr>
              <w:keepNext w:val="0"/>
              <w:keepLines w:val="0"/>
              <w:pageBreakBefore w:val="0"/>
              <w:widowControl/>
              <w:kinsoku/>
              <w:wordWrap/>
              <w:overflowPunct/>
              <w:topLinePunct w:val="0"/>
              <w:bidi w:val="0"/>
              <w:snapToGrid/>
              <w:spacing w:line="540" w:lineRule="exact"/>
              <w:jc w:val="center"/>
              <w:textAlignment w:val="auto"/>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2024.07</w:t>
            </w:r>
          </w:p>
        </w:tc>
      </w:tr>
    </w:tbl>
    <w:p w14:paraId="01B91D9E">
      <w:pPr>
        <w:keepNext w:val="0"/>
        <w:keepLines w:val="0"/>
        <w:pageBreakBefore w:val="0"/>
        <w:widowControl/>
        <w:kinsoku/>
        <w:wordWrap/>
        <w:overflowPunct/>
        <w:topLinePunct w:val="0"/>
        <w:bidi w:val="0"/>
        <w:snapToGrid/>
        <w:spacing w:line="579" w:lineRule="exact"/>
        <w:ind w:firstLine="640" w:firstLineChars="200"/>
        <w:jc w:val="left"/>
        <w:textAlignment w:val="auto"/>
        <w:rPr>
          <w:rFonts w:ascii="黑体" w:hAnsi="宋体" w:eastAsia="黑体" w:cs="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lang w:val="en-US" w:eastAsia="zh-CN"/>
        </w:rPr>
        <w:t>四</w:t>
      </w:r>
      <w:r>
        <w:rPr>
          <w:rFonts w:hint="eastAsia" w:ascii="黑体" w:hAnsi="宋体" w:eastAsia="黑体" w:cs="黑体"/>
          <w:color w:val="000000"/>
          <w:kern w:val="0"/>
          <w:sz w:val="32"/>
          <w:szCs w:val="32"/>
          <w:shd w:val="clear" w:color="auto" w:fill="FFFFFF"/>
        </w:rPr>
        <w:t>、政府扶持政策的信息</w:t>
      </w:r>
    </w:p>
    <w:p w14:paraId="709B0CED">
      <w:pPr>
        <w:keepNext w:val="0"/>
        <w:keepLines w:val="0"/>
        <w:pageBreakBefore w:val="0"/>
        <w:widowControl/>
        <w:kinsoku/>
        <w:wordWrap/>
        <w:overflowPunct/>
        <w:topLinePunct w:val="0"/>
        <w:bidi w:val="0"/>
        <w:snapToGrid/>
        <w:spacing w:line="579" w:lineRule="exact"/>
        <w:ind w:firstLine="640" w:firstLineChars="200"/>
        <w:jc w:val="left"/>
        <w:textAlignment w:val="auto"/>
        <w:rPr>
          <w:rFonts w:ascii="仿宋_GB2312" w:hAnsi="Calibri" w:eastAsia="仿宋_GB2312" w:cs="仿宋_GB2312"/>
          <w:color w:val="000000"/>
          <w:kern w:val="0"/>
          <w:sz w:val="32"/>
          <w:szCs w:val="32"/>
          <w:highlight w:val="none"/>
          <w:shd w:val="clear" w:color="auto" w:fill="FFFFFF"/>
        </w:rPr>
      </w:pPr>
      <w:r>
        <w:rPr>
          <w:rFonts w:hint="eastAsia" w:ascii="Times New Roman" w:hAnsi="Times New Roman" w:eastAsia="仿宋_GB2312" w:cs="Times New Roman"/>
          <w:snapToGrid w:val="0"/>
          <w:color w:val="auto"/>
          <w:spacing w:val="0"/>
          <w:kern w:val="0"/>
          <w:sz w:val="32"/>
          <w:szCs w:val="32"/>
          <w:highlight w:val="none"/>
          <w:lang w:val="en-US" w:eastAsia="zh-CN" w:bidi="ar-SA"/>
        </w:rPr>
        <w:t>2025年获得的政府扶持政策主要是企业所得税三免三减半政策。</w:t>
      </w:r>
    </w:p>
    <w:p w14:paraId="18A41C85">
      <w:pPr>
        <w:keepNext w:val="0"/>
        <w:keepLines w:val="0"/>
        <w:pageBreakBefore w:val="0"/>
        <w:widowControl/>
        <w:kinsoku/>
        <w:wordWrap/>
        <w:overflowPunct/>
        <w:topLinePunct w:val="0"/>
        <w:bidi w:val="0"/>
        <w:snapToGrid/>
        <w:spacing w:line="579" w:lineRule="exact"/>
        <w:ind w:firstLine="640" w:firstLineChars="200"/>
        <w:jc w:val="left"/>
        <w:textAlignment w:val="auto"/>
        <w:rPr>
          <w:rFonts w:ascii="黑体" w:hAnsi="宋体" w:eastAsia="黑体" w:cs="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lang w:val="en-US" w:eastAsia="zh-CN"/>
        </w:rPr>
        <w:t>五</w:t>
      </w:r>
      <w:r>
        <w:rPr>
          <w:rFonts w:hint="eastAsia" w:ascii="黑体" w:hAnsi="宋体" w:eastAsia="黑体" w:cs="黑体"/>
          <w:color w:val="000000"/>
          <w:kern w:val="0"/>
          <w:sz w:val="32"/>
          <w:szCs w:val="32"/>
          <w:shd w:val="clear" w:color="auto" w:fill="FFFFFF"/>
        </w:rPr>
        <w:t>、报告期内发生的重大事项及对企业的影响</w:t>
      </w:r>
    </w:p>
    <w:p w14:paraId="15DC584A">
      <w:pPr>
        <w:keepNext w:val="0"/>
        <w:keepLines w:val="0"/>
        <w:pageBreakBefore w:val="0"/>
        <w:widowControl/>
        <w:kinsoku/>
        <w:wordWrap/>
        <w:overflowPunct/>
        <w:topLinePunct w:val="0"/>
        <w:bidi w:val="0"/>
        <w:snapToGrid/>
        <w:spacing w:line="579" w:lineRule="exact"/>
        <w:ind w:firstLine="640" w:firstLineChars="200"/>
        <w:jc w:val="left"/>
        <w:textAlignment w:val="auto"/>
        <w:rPr>
          <w:rFonts w:ascii="仿宋_GB2312" w:hAnsi="Calibri" w:eastAsia="仿宋_GB2312" w:cs="仿宋_GB2312"/>
          <w:color w:val="000000"/>
          <w:kern w:val="0"/>
          <w:sz w:val="32"/>
          <w:szCs w:val="32"/>
          <w:shd w:val="clear" w:color="auto" w:fill="FFFFFF"/>
        </w:rPr>
      </w:pPr>
      <w:r>
        <w:rPr>
          <w:rFonts w:hint="eastAsia" w:ascii="仿宋_GB2312" w:hAnsi="Calibri" w:eastAsia="仿宋_GB2312" w:cs="仿宋_GB2312"/>
          <w:color w:val="000000"/>
          <w:kern w:val="0"/>
          <w:sz w:val="32"/>
          <w:szCs w:val="32"/>
          <w:shd w:val="clear" w:color="auto" w:fill="FFFFFF"/>
        </w:rPr>
        <w:t>无。</w:t>
      </w:r>
    </w:p>
    <w:p w14:paraId="2751D13C">
      <w:pPr>
        <w:keepNext w:val="0"/>
        <w:keepLines w:val="0"/>
        <w:pageBreakBefore w:val="0"/>
        <w:widowControl/>
        <w:kinsoku/>
        <w:wordWrap/>
        <w:overflowPunct/>
        <w:topLinePunct w:val="0"/>
        <w:bidi w:val="0"/>
        <w:snapToGrid/>
        <w:spacing w:line="579" w:lineRule="exact"/>
        <w:ind w:firstLine="640" w:firstLineChars="200"/>
        <w:jc w:val="left"/>
        <w:textAlignment w:val="auto"/>
        <w:rPr>
          <w:rFonts w:ascii="黑体" w:hAnsi="宋体" w:eastAsia="黑体" w:cs="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lang w:val="en-US" w:eastAsia="zh-CN"/>
        </w:rPr>
        <w:t>六</w:t>
      </w:r>
      <w:r>
        <w:rPr>
          <w:rFonts w:hint="eastAsia" w:ascii="黑体" w:hAnsi="宋体" w:eastAsia="黑体" w:cs="黑体"/>
          <w:color w:val="000000"/>
          <w:kern w:val="0"/>
          <w:sz w:val="32"/>
          <w:szCs w:val="32"/>
          <w:shd w:val="clear" w:color="auto" w:fill="FFFFFF"/>
        </w:rPr>
        <w:t>、“三重一大”有关事项</w:t>
      </w:r>
    </w:p>
    <w:p w14:paraId="65BF7803">
      <w:pPr>
        <w:keepNext w:val="0"/>
        <w:keepLines w:val="0"/>
        <w:pageBreakBefore w:val="0"/>
        <w:widowControl w:val="0"/>
        <w:numPr>
          <w:ilvl w:val="0"/>
          <w:numId w:val="0"/>
        </w:numPr>
        <w:kinsoku/>
        <w:wordWrap/>
        <w:overflowPunct/>
        <w:topLinePunct w:val="0"/>
        <w:autoSpaceDE w:val="0"/>
        <w:autoSpaceDN w:val="0"/>
        <w:bidi w:val="0"/>
        <w:adjustRightInd/>
        <w:snapToGrid/>
        <w:spacing w:line="579" w:lineRule="exact"/>
        <w:ind w:left="0" w:right="0" w:rightChars="0" w:firstLine="640" w:firstLineChars="200"/>
        <w:jc w:val="both"/>
        <w:textAlignment w:val="baseline"/>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楷体_GB2312" w:cs="Times New Roman"/>
          <w:color w:val="auto"/>
          <w:spacing w:val="0"/>
          <w:sz w:val="32"/>
          <w:szCs w:val="32"/>
          <w:lang w:val="en-US" w:eastAsia="zh-CN"/>
        </w:rPr>
        <w:t>（一）有关重大决策。</w:t>
      </w:r>
      <w:r>
        <w:rPr>
          <w:rFonts w:hint="default" w:ascii="Times New Roman" w:hAnsi="Times New Roman" w:eastAsia="仿宋_GB2312" w:cs="Times New Roman"/>
          <w:snapToGrid w:val="0"/>
          <w:color w:val="auto"/>
          <w:spacing w:val="0"/>
          <w:kern w:val="0"/>
          <w:sz w:val="32"/>
          <w:szCs w:val="32"/>
          <w:lang w:val="en-US" w:eastAsia="zh-CN" w:bidi="ar-SA"/>
        </w:rPr>
        <w:t>审议通过了202</w:t>
      </w:r>
      <w:r>
        <w:rPr>
          <w:rFonts w:hint="eastAsia" w:ascii="Times New Roman" w:hAnsi="Times New Roman" w:eastAsia="仿宋_GB2312" w:cs="Times New Roman"/>
          <w:snapToGrid w:val="0"/>
          <w:color w:val="auto"/>
          <w:spacing w:val="0"/>
          <w:kern w:val="0"/>
          <w:sz w:val="32"/>
          <w:szCs w:val="32"/>
          <w:lang w:val="en-US" w:eastAsia="zh-CN" w:bidi="ar-SA"/>
        </w:rPr>
        <w:t>5</w:t>
      </w:r>
      <w:r>
        <w:rPr>
          <w:rFonts w:hint="default" w:ascii="Times New Roman" w:hAnsi="Times New Roman" w:eastAsia="仿宋_GB2312" w:cs="Times New Roman"/>
          <w:snapToGrid w:val="0"/>
          <w:color w:val="auto"/>
          <w:spacing w:val="0"/>
          <w:kern w:val="0"/>
          <w:sz w:val="32"/>
          <w:szCs w:val="32"/>
          <w:lang w:val="en-US" w:eastAsia="zh-CN" w:bidi="ar-SA"/>
        </w:rPr>
        <w:t>年度财务预算、202</w:t>
      </w:r>
      <w:r>
        <w:rPr>
          <w:rFonts w:hint="eastAsia" w:ascii="Times New Roman" w:hAnsi="Times New Roman" w:eastAsia="仿宋_GB2312" w:cs="Times New Roman"/>
          <w:snapToGrid w:val="0"/>
          <w:color w:val="auto"/>
          <w:spacing w:val="0"/>
          <w:kern w:val="0"/>
          <w:sz w:val="32"/>
          <w:szCs w:val="32"/>
          <w:lang w:val="en-US" w:eastAsia="zh-CN" w:bidi="ar-SA"/>
        </w:rPr>
        <w:t>4</w:t>
      </w:r>
      <w:r>
        <w:rPr>
          <w:rFonts w:hint="default" w:ascii="Times New Roman" w:hAnsi="Times New Roman" w:eastAsia="仿宋_GB2312" w:cs="Times New Roman"/>
          <w:snapToGrid w:val="0"/>
          <w:color w:val="auto"/>
          <w:spacing w:val="0"/>
          <w:kern w:val="0"/>
          <w:sz w:val="32"/>
          <w:szCs w:val="32"/>
          <w:lang w:val="en-US" w:eastAsia="zh-CN" w:bidi="ar-SA"/>
        </w:rPr>
        <w:t>年度财务决算报告等重大决策事项。</w:t>
      </w:r>
    </w:p>
    <w:p w14:paraId="47A2E04D">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579" w:lineRule="exact"/>
        <w:ind w:left="0" w:firstLine="640" w:firstLineChars="200"/>
        <w:textAlignment w:val="baseline"/>
        <w:rPr>
          <w:rFonts w:hint="default" w:ascii="Times New Roman" w:hAnsi="Times New Roman" w:eastAsia="仿宋_GB2312" w:cs="Times New Roman"/>
          <w:snapToGrid w:val="0"/>
          <w:color w:val="auto"/>
          <w:spacing w:val="0"/>
          <w:kern w:val="0"/>
          <w:sz w:val="32"/>
          <w:szCs w:val="32"/>
          <w:lang w:val="en-US" w:eastAsia="zh-CN" w:bidi="ar-SA"/>
        </w:rPr>
      </w:pPr>
      <w:r>
        <w:rPr>
          <w:rFonts w:hint="default" w:ascii="Times New Roman" w:hAnsi="Times New Roman" w:eastAsia="楷体_GB2312" w:cs="Times New Roman"/>
          <w:snapToGrid w:val="0"/>
          <w:color w:val="auto"/>
          <w:spacing w:val="0"/>
          <w:kern w:val="0"/>
          <w:sz w:val="32"/>
          <w:szCs w:val="32"/>
          <w:lang w:val="en-US" w:eastAsia="zh-CN"/>
        </w:rPr>
        <w:t>（</w:t>
      </w:r>
      <w:r>
        <w:rPr>
          <w:rFonts w:hint="eastAsia" w:ascii="Times New Roman" w:hAnsi="Times New Roman" w:eastAsia="楷体_GB2312" w:cs="Times New Roman"/>
          <w:snapToGrid w:val="0"/>
          <w:color w:val="auto"/>
          <w:spacing w:val="0"/>
          <w:kern w:val="0"/>
          <w:sz w:val="32"/>
          <w:szCs w:val="32"/>
          <w:lang w:val="en-US" w:eastAsia="zh-CN"/>
        </w:rPr>
        <w:t>二</w:t>
      </w:r>
      <w:r>
        <w:rPr>
          <w:rFonts w:hint="default" w:ascii="Times New Roman" w:hAnsi="Times New Roman" w:eastAsia="楷体_GB2312" w:cs="Times New Roman"/>
          <w:snapToGrid w:val="0"/>
          <w:color w:val="auto"/>
          <w:spacing w:val="0"/>
          <w:kern w:val="0"/>
          <w:sz w:val="32"/>
          <w:szCs w:val="32"/>
          <w:lang w:val="en-US" w:eastAsia="zh-CN"/>
        </w:rPr>
        <w:t>）重要人事任免</w:t>
      </w:r>
      <w:r>
        <w:rPr>
          <w:rFonts w:hint="default" w:ascii="Times New Roman" w:hAnsi="Times New Roman" w:eastAsia="仿宋_GB2312" w:cs="Times New Roman"/>
          <w:snapToGrid w:val="0"/>
          <w:color w:val="auto"/>
          <w:spacing w:val="0"/>
          <w:kern w:val="0"/>
          <w:sz w:val="32"/>
          <w:szCs w:val="32"/>
          <w:lang w:val="en-US" w:eastAsia="zh-CN" w:bidi="ar-SA"/>
        </w:rPr>
        <w:t>。</w:t>
      </w:r>
      <w:r>
        <w:rPr>
          <w:rFonts w:hint="eastAsia" w:ascii="Times New Roman" w:hAnsi="Times New Roman" w:eastAsia="仿宋_GB2312" w:cs="Times New Roman"/>
          <w:sz w:val="32"/>
          <w:lang w:val="en-US" w:eastAsia="zh-CN"/>
        </w:rPr>
        <w:t>2025年7月，依据公司新修订的《章程》要求，公司不再设置监事一职，</w:t>
      </w:r>
      <w:r>
        <w:rPr>
          <w:rFonts w:hint="eastAsia" w:ascii="Times New Roman" w:hAnsi="Times New Roman" w:eastAsia="仿宋_GB2312" w:cs="Times New Roman"/>
          <w:snapToGrid w:val="0"/>
          <w:color w:val="auto"/>
          <w:spacing w:val="0"/>
          <w:kern w:val="0"/>
          <w:sz w:val="32"/>
          <w:szCs w:val="32"/>
          <w:lang w:val="en-US" w:eastAsia="zh-CN" w:bidi="ar-SA"/>
        </w:rPr>
        <w:t>董鲲</w:t>
      </w:r>
      <w:r>
        <w:rPr>
          <w:rFonts w:hint="eastAsia" w:ascii="Times New Roman" w:hAnsi="Times New Roman" w:eastAsia="仿宋_GB2312" w:cs="Times New Roman"/>
          <w:sz w:val="32"/>
          <w:lang w:val="en-US" w:eastAsia="zh-CN"/>
        </w:rPr>
        <w:t>公司监事职务自然免除。</w:t>
      </w:r>
    </w:p>
    <w:p w14:paraId="079BD9AE">
      <w:pPr>
        <w:pStyle w:val="4"/>
        <w:keepNext w:val="0"/>
        <w:keepLines w:val="0"/>
        <w:pageBreakBefore w:val="0"/>
        <w:widowControl w:val="0"/>
        <w:shd w:val="clear" w:color="auto" w:fill="auto"/>
        <w:kinsoku/>
        <w:wordWrap/>
        <w:overflowPunct/>
        <w:topLinePunct w:val="0"/>
        <w:autoSpaceDE w:val="0"/>
        <w:autoSpaceDN w:val="0"/>
        <w:bidi w:val="0"/>
        <w:adjustRightInd/>
        <w:snapToGrid/>
        <w:ind w:left="0" w:leftChars="0" w:right="0" w:rightChars="0" w:firstLineChars="200"/>
        <w:jc w:val="both"/>
        <w:textAlignment w:val="baseline"/>
        <w:rPr>
          <w:rFonts w:hint="default" w:ascii="Times New Roman" w:hAnsi="Times New Roman" w:eastAsia="仿宋_GB2312" w:cs="Times New Roman"/>
          <w:snapToGrid w:val="0"/>
          <w:color w:val="auto"/>
          <w:spacing w:val="0"/>
          <w:kern w:val="0"/>
          <w:sz w:val="32"/>
          <w:szCs w:val="32"/>
          <w:lang w:val="en-US" w:eastAsia="zh-CN"/>
        </w:rPr>
      </w:pPr>
      <w:r>
        <w:rPr>
          <w:rFonts w:hint="default" w:ascii="Times New Roman" w:hAnsi="Times New Roman" w:eastAsia="楷体_GB2312" w:cs="Times New Roman"/>
          <w:color w:val="auto"/>
          <w:spacing w:val="0"/>
          <w:sz w:val="32"/>
          <w:szCs w:val="32"/>
          <w:lang w:val="en-US" w:eastAsia="zh-CN"/>
        </w:rPr>
        <w:t>（</w:t>
      </w:r>
      <w:r>
        <w:rPr>
          <w:rFonts w:hint="eastAsia" w:ascii="Times New Roman" w:hAnsi="Times New Roman" w:eastAsia="楷体_GB2312" w:cs="Times New Roman"/>
          <w:color w:val="auto"/>
          <w:spacing w:val="0"/>
          <w:sz w:val="32"/>
          <w:szCs w:val="32"/>
          <w:lang w:val="en-US" w:eastAsia="zh-CN"/>
        </w:rPr>
        <w:t>三</w:t>
      </w:r>
      <w:r>
        <w:rPr>
          <w:rFonts w:hint="default" w:ascii="Times New Roman" w:hAnsi="Times New Roman" w:eastAsia="楷体_GB2312" w:cs="Times New Roman"/>
          <w:color w:val="auto"/>
          <w:spacing w:val="0"/>
          <w:sz w:val="32"/>
          <w:szCs w:val="32"/>
          <w:lang w:val="en-US" w:eastAsia="zh-CN"/>
        </w:rPr>
        <w:t>）大额资金的调度及使用</w:t>
      </w:r>
      <w:r>
        <w:rPr>
          <w:rFonts w:hint="eastAsia" w:ascii="Times New Roman" w:hAnsi="Times New Roman" w:eastAsia="楷体_GB2312" w:cs="Times New Roman"/>
          <w:color w:val="auto"/>
          <w:spacing w:val="0"/>
          <w:sz w:val="32"/>
          <w:szCs w:val="32"/>
          <w:lang w:val="en-US" w:eastAsia="zh-CN"/>
        </w:rPr>
        <w:t>情况</w:t>
      </w:r>
      <w:r>
        <w:rPr>
          <w:rFonts w:hint="default" w:ascii="Times New Roman" w:hAnsi="Times New Roman" w:eastAsia="楷体_GB2312" w:cs="Times New Roman"/>
          <w:color w:val="auto"/>
          <w:spacing w:val="0"/>
          <w:sz w:val="32"/>
          <w:szCs w:val="32"/>
          <w:lang w:val="en-US" w:eastAsia="zh-CN"/>
        </w:rPr>
        <w:t>。</w:t>
      </w:r>
      <w:r>
        <w:rPr>
          <w:rFonts w:hint="default" w:ascii="Times New Roman" w:hAnsi="Times New Roman" w:eastAsia="仿宋_GB2312" w:cs="Times New Roman"/>
          <w:snapToGrid w:val="0"/>
          <w:color w:val="auto"/>
          <w:spacing w:val="0"/>
          <w:kern w:val="0"/>
          <w:sz w:val="32"/>
          <w:szCs w:val="32"/>
          <w:lang w:val="en-US" w:eastAsia="zh-CN"/>
        </w:rPr>
        <w:t>本年度</w:t>
      </w:r>
      <w:r>
        <w:rPr>
          <w:rFonts w:hint="default" w:ascii="Times New Roman" w:hAnsi="Times New Roman" w:eastAsia="仿宋_GB2312" w:cs="Times New Roman"/>
          <w:snapToGrid w:val="0"/>
          <w:color w:val="auto"/>
          <w:spacing w:val="0"/>
          <w:kern w:val="0"/>
          <w:sz w:val="32"/>
          <w:szCs w:val="32"/>
          <w:lang w:val="en-US" w:eastAsia="zh-CN" w:bidi="ar-SA"/>
        </w:rPr>
        <w:t>无</w:t>
      </w:r>
      <w:r>
        <w:rPr>
          <w:rFonts w:hint="default" w:ascii="Times New Roman" w:hAnsi="Times New Roman" w:eastAsia="仿宋_GB2312" w:cs="Times New Roman"/>
          <w:snapToGrid w:val="0"/>
          <w:color w:val="auto"/>
          <w:spacing w:val="0"/>
          <w:kern w:val="0"/>
          <w:sz w:val="32"/>
          <w:szCs w:val="32"/>
          <w:lang w:val="en-US" w:eastAsia="zh-CN"/>
        </w:rPr>
        <w:t>大额资金的调度及使用</w:t>
      </w:r>
      <w:r>
        <w:rPr>
          <w:rFonts w:hint="default" w:ascii="Times New Roman" w:hAnsi="Times New Roman" w:eastAsia="仿宋_GB2312" w:cs="Times New Roman"/>
          <w:snapToGrid w:val="0"/>
          <w:color w:val="auto"/>
          <w:spacing w:val="0"/>
          <w:kern w:val="0"/>
          <w:sz w:val="32"/>
          <w:szCs w:val="32"/>
          <w:lang w:val="en-US" w:eastAsia="zh-CN" w:bidi="ar-SA"/>
        </w:rPr>
        <w:t>。</w:t>
      </w:r>
    </w:p>
    <w:p w14:paraId="7BD14632">
      <w:pPr>
        <w:pStyle w:val="4"/>
        <w:numPr>
          <w:ilvl w:val="0"/>
          <w:numId w:val="0"/>
        </w:numPr>
        <w:shd w:val="clear" w:color="auto" w:fill="auto"/>
        <w:spacing w:line="579" w:lineRule="exact"/>
        <w:ind w:left="0" w:leftChars="0" w:firstLine="640" w:firstLineChars="200"/>
        <w:rPr>
          <w:rFonts w:hint="default"/>
          <w:lang w:val="en-US"/>
        </w:rPr>
      </w:pPr>
      <w:r>
        <w:rPr>
          <w:rFonts w:hint="eastAsia" w:ascii="Times New Roman" w:hAnsi="Times New Roman" w:eastAsia="楷体_GB2312" w:cs="Times New Roman"/>
          <w:spacing w:val="0"/>
          <w:kern w:val="0"/>
          <w:sz w:val="32"/>
          <w:szCs w:val="32"/>
          <w:lang w:val="en-US" w:eastAsia="zh-CN" w:bidi="ar-SA"/>
        </w:rPr>
        <w:t>（四）</w:t>
      </w:r>
      <w:r>
        <w:rPr>
          <w:rFonts w:hint="default" w:ascii="Times New Roman" w:hAnsi="Times New Roman" w:eastAsia="楷体_GB2312" w:cs="Times New Roman"/>
          <w:spacing w:val="0"/>
          <w:kern w:val="0"/>
          <w:sz w:val="32"/>
          <w:szCs w:val="32"/>
          <w:lang w:val="en-US" w:eastAsia="zh-CN" w:bidi="ar-SA"/>
        </w:rPr>
        <w:t>重大项目安排。</w:t>
      </w:r>
      <w:r>
        <w:rPr>
          <w:rFonts w:hint="eastAsia" w:ascii="Times New Roman" w:hAnsi="Times New Roman" w:eastAsia="仿宋_GB2312" w:cs="仿宋_GB2312"/>
          <w:color w:val="000000"/>
          <w:spacing w:val="0"/>
          <w:kern w:val="0"/>
          <w:sz w:val="31"/>
          <w:szCs w:val="31"/>
          <w:lang w:val="en-US" w:eastAsia="zh-CN" w:bidi="ar"/>
        </w:rPr>
        <w:t>本年度无重大项目安排。</w:t>
      </w:r>
    </w:p>
    <w:p w14:paraId="5DFC22C6">
      <w:pPr>
        <w:keepNext w:val="0"/>
        <w:keepLines w:val="0"/>
        <w:pageBreakBefore w:val="0"/>
        <w:widowControl/>
        <w:kinsoku/>
        <w:wordWrap/>
        <w:overflowPunct/>
        <w:topLinePunct w:val="0"/>
        <w:bidi w:val="0"/>
        <w:snapToGrid/>
        <w:spacing w:line="579" w:lineRule="exact"/>
        <w:ind w:firstLine="640" w:firstLineChars="200"/>
        <w:jc w:val="left"/>
        <w:textAlignment w:val="auto"/>
        <w:rPr>
          <w:rFonts w:ascii="黑体" w:hAnsi="宋体" w:eastAsia="黑体" w:cs="黑体"/>
          <w:color w:val="000000"/>
          <w:kern w:val="0"/>
          <w:sz w:val="32"/>
          <w:szCs w:val="32"/>
          <w:shd w:val="clear" w:color="auto" w:fill="FFFFFF"/>
        </w:rPr>
      </w:pPr>
      <w:r>
        <w:rPr>
          <w:rFonts w:hint="eastAsia" w:ascii="黑体" w:hAnsi="宋体" w:eastAsia="黑体" w:cs="黑体"/>
          <w:color w:val="000000"/>
          <w:kern w:val="0"/>
          <w:sz w:val="32"/>
          <w:szCs w:val="32"/>
          <w:shd w:val="clear" w:color="auto" w:fill="FFFFFF"/>
          <w:lang w:val="en-US" w:eastAsia="zh-CN"/>
        </w:rPr>
        <w:t>七</w:t>
      </w:r>
      <w:r>
        <w:rPr>
          <w:rFonts w:hint="eastAsia" w:ascii="黑体" w:hAnsi="宋体" w:eastAsia="黑体" w:cs="黑体"/>
          <w:color w:val="000000"/>
          <w:kern w:val="0"/>
          <w:sz w:val="32"/>
          <w:szCs w:val="32"/>
          <w:shd w:val="clear" w:color="auto" w:fill="FFFFFF"/>
        </w:rPr>
        <w:t>、社会责任履行情况</w:t>
      </w:r>
    </w:p>
    <w:p w14:paraId="4A8D289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79" w:lineRule="exact"/>
        <w:ind w:left="0" w:right="0" w:rightChars="0" w:firstLine="640" w:firstLineChars="200"/>
        <w:jc w:val="both"/>
        <w:textAlignment w:val="baseline"/>
        <w:rPr>
          <w:rFonts w:hint="default" w:ascii="Times New Roman" w:hAnsi="Times New Roman" w:eastAsia="楷体_GB2312" w:cs="Times New Roman"/>
          <w:color w:val="auto"/>
          <w:spacing w:val="0"/>
          <w:sz w:val="32"/>
          <w:szCs w:val="32"/>
        </w:rPr>
      </w:pPr>
      <w:r>
        <w:rPr>
          <w:rFonts w:hint="default" w:ascii="Times New Roman" w:hAnsi="Times New Roman" w:eastAsia="楷体_GB2312" w:cs="Times New Roman"/>
          <w:color w:val="auto"/>
          <w:spacing w:val="0"/>
          <w:sz w:val="32"/>
          <w:szCs w:val="32"/>
          <w:lang w:eastAsia="zh-CN"/>
        </w:rPr>
        <w:t>（</w:t>
      </w:r>
      <w:r>
        <w:rPr>
          <w:rFonts w:hint="default" w:ascii="Times New Roman" w:hAnsi="Times New Roman" w:eastAsia="楷体_GB2312" w:cs="Times New Roman"/>
          <w:color w:val="auto"/>
          <w:spacing w:val="0"/>
          <w:sz w:val="32"/>
          <w:szCs w:val="32"/>
          <w:lang w:val="en-US" w:eastAsia="zh-CN"/>
        </w:rPr>
        <w:t>一</w:t>
      </w:r>
      <w:r>
        <w:rPr>
          <w:rFonts w:hint="default" w:ascii="Times New Roman" w:hAnsi="Times New Roman" w:eastAsia="楷体_GB2312" w:cs="Times New Roman"/>
          <w:color w:val="auto"/>
          <w:spacing w:val="0"/>
          <w:sz w:val="32"/>
          <w:szCs w:val="32"/>
          <w:lang w:eastAsia="zh-CN"/>
        </w:rPr>
        <w:t>）</w:t>
      </w:r>
      <w:r>
        <w:rPr>
          <w:rFonts w:hint="default" w:ascii="Times New Roman" w:hAnsi="Times New Roman" w:eastAsia="楷体_GB2312" w:cs="Times New Roman"/>
          <w:color w:val="auto"/>
          <w:spacing w:val="0"/>
          <w:sz w:val="32"/>
          <w:szCs w:val="32"/>
        </w:rPr>
        <w:t>职工劳动合同的签订、履行等劳动法律法规的遵守和执行情况</w:t>
      </w:r>
    </w:p>
    <w:p w14:paraId="7AC11031">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default" w:ascii="Times New Roman" w:hAnsi="Times New Roman" w:eastAsia="仿宋_GB2312" w:cs="Times New Roman"/>
          <w:color w:val="auto"/>
          <w:spacing w:val="0"/>
          <w:sz w:val="32"/>
          <w:szCs w:val="32"/>
        </w:rPr>
      </w:pPr>
      <w:r>
        <w:rPr>
          <w:rFonts w:hint="eastAsia" w:ascii="Times New Roman" w:hAnsi="Times New Roman" w:eastAsia="仿宋_GB2312" w:cs="Times New Roman"/>
          <w:color w:val="auto"/>
          <w:spacing w:val="0"/>
          <w:sz w:val="32"/>
          <w:szCs w:val="32"/>
          <w:lang w:val="en-US" w:eastAsia="zh-CN"/>
        </w:rPr>
        <w:t>公司</w:t>
      </w:r>
      <w:r>
        <w:rPr>
          <w:rFonts w:hint="default" w:ascii="Times New Roman" w:hAnsi="Times New Roman" w:eastAsia="仿宋_GB2312" w:cs="Times New Roman"/>
          <w:color w:val="auto"/>
          <w:spacing w:val="0"/>
          <w:sz w:val="32"/>
          <w:szCs w:val="32"/>
        </w:rPr>
        <w:t>职工全部签订劳动合同，按照人社部门要求进行备案，及时足额缴纳五险一金，职工享受带薪休假等国家规定的各项福利。</w:t>
      </w:r>
    </w:p>
    <w:p w14:paraId="76564A7B">
      <w:pPr>
        <w:keepNext w:val="0"/>
        <w:keepLines w:val="0"/>
        <w:pageBreakBefore w:val="0"/>
        <w:kinsoku/>
        <w:wordWrap/>
        <w:overflowPunct/>
        <w:topLinePunct w:val="0"/>
        <w:autoSpaceDE w:val="0"/>
        <w:autoSpaceDN w:val="0"/>
        <w:bidi w:val="0"/>
        <w:adjustRightInd w:val="0"/>
        <w:snapToGrid/>
        <w:spacing w:line="579" w:lineRule="exact"/>
        <w:ind w:firstLine="640" w:firstLineChars="200"/>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二</w:t>
      </w:r>
      <w:r>
        <w:rPr>
          <w:rFonts w:ascii="Times New Roman" w:hAnsi="Times New Roman" w:eastAsia="楷体_GB2312" w:cs="Times New Roman"/>
          <w:kern w:val="0"/>
          <w:sz w:val="32"/>
          <w:szCs w:val="32"/>
        </w:rPr>
        <w:t>）人才引进、职工招聘、职工培训等人才队伍建设情况</w:t>
      </w:r>
    </w:p>
    <w:p w14:paraId="311CD87A">
      <w:pPr>
        <w:keepNext w:val="0"/>
        <w:keepLines w:val="0"/>
        <w:pageBreakBefore w:val="0"/>
        <w:kinsoku/>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仿宋_GB2312" w:cs="Times New Roman"/>
          <w:b/>
          <w:bCs/>
          <w:color w:val="auto"/>
          <w:spacing w:val="0"/>
          <w:sz w:val="32"/>
          <w:szCs w:val="32"/>
          <w:lang w:eastAsia="zh-CN"/>
        </w:rPr>
      </w:pPr>
      <w:r>
        <w:rPr>
          <w:rFonts w:hint="default" w:ascii="Times New Roman" w:hAnsi="Times New Roman" w:eastAsia="仿宋_GB2312" w:cs="Times New Roman"/>
          <w:b/>
          <w:bCs/>
          <w:color w:val="auto"/>
          <w:spacing w:val="0"/>
          <w:sz w:val="32"/>
          <w:szCs w:val="32"/>
        </w:rPr>
        <w:t>1.人才引进</w:t>
      </w:r>
      <w:r>
        <w:rPr>
          <w:rFonts w:hint="default" w:ascii="Times New Roman" w:hAnsi="Times New Roman" w:eastAsia="仿宋_GB2312" w:cs="Times New Roman"/>
          <w:b/>
          <w:bCs/>
          <w:color w:val="auto"/>
          <w:spacing w:val="0"/>
          <w:sz w:val="32"/>
          <w:szCs w:val="32"/>
          <w:lang w:val="en-US" w:eastAsia="zh-CN"/>
        </w:rPr>
        <w:t>及职工招聘</w:t>
      </w:r>
      <w:r>
        <w:rPr>
          <w:rFonts w:hint="default" w:ascii="Times New Roman" w:hAnsi="Times New Roman" w:eastAsia="仿宋_GB2312" w:cs="Times New Roman"/>
          <w:b/>
          <w:bCs/>
          <w:color w:val="auto"/>
          <w:spacing w:val="0"/>
          <w:sz w:val="32"/>
          <w:szCs w:val="32"/>
        </w:rPr>
        <w:t>方面</w:t>
      </w:r>
      <w:r>
        <w:rPr>
          <w:rFonts w:hint="default" w:ascii="Times New Roman" w:hAnsi="Times New Roman" w:eastAsia="仿宋_GB2312" w:cs="Times New Roman"/>
          <w:b/>
          <w:bCs/>
          <w:color w:val="auto"/>
          <w:spacing w:val="0"/>
          <w:sz w:val="32"/>
          <w:szCs w:val="32"/>
          <w:lang w:eastAsia="zh-CN"/>
        </w:rPr>
        <w:t>。</w:t>
      </w:r>
    </w:p>
    <w:p w14:paraId="2089EFFF">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pacing w:val="0"/>
          <w:sz w:val="32"/>
          <w:szCs w:val="32"/>
          <w:highlight w:val="none"/>
          <w:lang w:val="en-US" w:eastAsia="zh-CN"/>
        </w:rPr>
        <w:t>202</w:t>
      </w:r>
      <w:r>
        <w:rPr>
          <w:rFonts w:hint="eastAsia" w:ascii="Times New Roman" w:hAnsi="Times New Roman" w:eastAsia="仿宋_GB2312" w:cs="Times New Roman"/>
          <w:color w:val="auto"/>
          <w:spacing w:val="0"/>
          <w:sz w:val="32"/>
          <w:szCs w:val="32"/>
          <w:highlight w:val="none"/>
          <w:lang w:val="en-US" w:eastAsia="zh-CN"/>
        </w:rPr>
        <w:t>5</w:t>
      </w:r>
      <w:r>
        <w:rPr>
          <w:rFonts w:hint="default" w:ascii="Times New Roman" w:hAnsi="Times New Roman" w:eastAsia="仿宋_GB2312" w:cs="Times New Roman"/>
          <w:color w:val="auto"/>
          <w:spacing w:val="0"/>
          <w:sz w:val="32"/>
          <w:szCs w:val="32"/>
          <w:highlight w:val="none"/>
          <w:lang w:val="en-US" w:eastAsia="zh-CN"/>
        </w:rPr>
        <w:t>年，</w:t>
      </w:r>
      <w:r>
        <w:rPr>
          <w:rFonts w:hint="eastAsia" w:ascii="Times New Roman" w:hAnsi="Times New Roman" w:eastAsia="仿宋_GB2312" w:cs="Times New Roman"/>
          <w:color w:val="auto"/>
          <w:spacing w:val="0"/>
          <w:sz w:val="32"/>
          <w:szCs w:val="32"/>
          <w:highlight w:val="none"/>
          <w:lang w:val="en-US" w:eastAsia="zh-CN"/>
        </w:rPr>
        <w:t>共入职新员工10人。</w:t>
      </w:r>
    </w:p>
    <w:p w14:paraId="477F7042">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3" w:firstLineChars="200"/>
        <w:jc w:val="both"/>
        <w:textAlignment w:val="baseline"/>
        <w:rPr>
          <w:rFonts w:hint="eastAsia" w:ascii="Times New Roman" w:hAnsi="Times New Roman" w:eastAsia="仿宋_GB2312" w:cs="Times New Roman"/>
          <w:b/>
          <w:bCs/>
          <w:color w:val="auto"/>
          <w:spacing w:val="0"/>
          <w:sz w:val="32"/>
          <w:szCs w:val="32"/>
          <w:lang w:eastAsia="zh-CN"/>
        </w:rPr>
      </w:pPr>
      <w:r>
        <w:rPr>
          <w:rFonts w:hint="default" w:ascii="Times New Roman" w:hAnsi="Times New Roman" w:eastAsia="仿宋_GB2312" w:cs="Times New Roman"/>
          <w:b/>
          <w:bCs/>
          <w:color w:val="auto"/>
          <w:spacing w:val="0"/>
          <w:sz w:val="32"/>
          <w:szCs w:val="32"/>
          <w:lang w:val="en-US" w:eastAsia="zh-CN"/>
        </w:rPr>
        <w:t>2.</w:t>
      </w:r>
      <w:r>
        <w:rPr>
          <w:rFonts w:hint="default" w:ascii="Times New Roman" w:hAnsi="Times New Roman" w:eastAsia="仿宋_GB2312" w:cs="Times New Roman"/>
          <w:b/>
          <w:bCs/>
          <w:color w:val="auto"/>
          <w:spacing w:val="0"/>
          <w:sz w:val="32"/>
          <w:szCs w:val="32"/>
        </w:rPr>
        <w:t>职工培训方面</w:t>
      </w:r>
      <w:r>
        <w:rPr>
          <w:rFonts w:hint="eastAsia" w:ascii="Times New Roman" w:hAnsi="Times New Roman" w:eastAsia="仿宋_GB2312" w:cs="Times New Roman"/>
          <w:b/>
          <w:bCs/>
          <w:color w:val="auto"/>
          <w:spacing w:val="0"/>
          <w:sz w:val="32"/>
          <w:szCs w:val="32"/>
          <w:lang w:eastAsia="zh-CN"/>
        </w:rPr>
        <w:t>。</w:t>
      </w:r>
    </w:p>
    <w:p w14:paraId="0292F41F">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年，公司集中开展了法人治理、新员工入职、安全生产等领域的治理体系和专业技能培训。同时，各部门定期举办生产技能培训和安全培训。</w:t>
      </w:r>
    </w:p>
    <w:p w14:paraId="4690CADB">
      <w:pPr>
        <w:keepNext w:val="0"/>
        <w:keepLines w:val="0"/>
        <w:pageBreakBefore w:val="0"/>
        <w:widowControl w:val="0"/>
        <w:kinsoku/>
        <w:wordWrap/>
        <w:overflowPunct/>
        <w:topLinePunct w:val="0"/>
        <w:autoSpaceDE w:val="0"/>
        <w:autoSpaceDN w:val="0"/>
        <w:bidi w:val="0"/>
        <w:adjustRightInd w:val="0"/>
        <w:snapToGrid/>
        <w:spacing w:line="579" w:lineRule="exact"/>
        <w:ind w:firstLine="640" w:firstLineChars="200"/>
        <w:jc w:val="both"/>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三</w:t>
      </w:r>
      <w:r>
        <w:rPr>
          <w:rFonts w:ascii="Times New Roman" w:hAnsi="Times New Roman" w:eastAsia="楷体_GB2312" w:cs="Times New Roman"/>
          <w:kern w:val="0"/>
          <w:sz w:val="32"/>
          <w:szCs w:val="32"/>
        </w:rPr>
        <w:t>）职工劳动、安全及卫生保护情况</w:t>
      </w:r>
    </w:p>
    <w:p w14:paraId="127E014E">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right="0" w:firstLine="640" w:firstLineChars="200"/>
        <w:jc w:val="both"/>
        <w:textAlignment w:val="baseline"/>
        <w:rPr>
          <w:rFonts w:hint="eastAsia" w:ascii="Times New Roman" w:hAnsi="Times New Roman" w:eastAsia="仿宋_GB2312" w:cs="Times New Roman"/>
          <w:color w:val="auto"/>
          <w:spacing w:val="0"/>
          <w:sz w:val="32"/>
          <w:szCs w:val="32"/>
          <w:lang w:val="en-US" w:eastAsia="zh-CN"/>
        </w:rPr>
      </w:pPr>
      <w:r>
        <w:rPr>
          <w:rFonts w:hint="eastAsia" w:ascii="Times New Roman" w:hAnsi="Times New Roman" w:eastAsia="仿宋_GB2312" w:cs="Times New Roman"/>
          <w:color w:val="auto"/>
          <w:spacing w:val="0"/>
          <w:sz w:val="32"/>
          <w:szCs w:val="32"/>
          <w:lang w:val="en-US" w:eastAsia="zh-CN"/>
        </w:rPr>
        <w:t>公司把安全生产作为首要任务，全面贯彻“安全第一、预防为主、综合治理”的方针。立足部门安全管理，从人员、设备、工艺、环境等多个方面系统推进，实现</w:t>
      </w:r>
      <w:r>
        <w:rPr>
          <w:rFonts w:hint="eastAsia" w:eastAsia="仿宋_GB2312"/>
          <w:kern w:val="0"/>
          <w:sz w:val="32"/>
          <w:szCs w:val="32"/>
          <w:lang w:val="en-US" w:eastAsia="zh-CN"/>
        </w:rPr>
        <w:t>全年安全生产“零事故”。</w:t>
      </w:r>
    </w:p>
    <w:p w14:paraId="729A47CB">
      <w:pPr>
        <w:keepNext w:val="0"/>
        <w:keepLines w:val="0"/>
        <w:pageBreakBefore w:val="0"/>
        <w:kinsoku/>
        <w:wordWrap/>
        <w:overflowPunct/>
        <w:topLinePunct w:val="0"/>
        <w:autoSpaceDE w:val="0"/>
        <w:autoSpaceDN w:val="0"/>
        <w:bidi w:val="0"/>
        <w:adjustRightInd w:val="0"/>
        <w:snapToGrid/>
        <w:spacing w:line="579" w:lineRule="exact"/>
        <w:ind w:firstLine="640" w:firstLineChars="200"/>
        <w:jc w:val="left"/>
        <w:textAlignment w:val="auto"/>
        <w:rPr>
          <w:rFonts w:ascii="Times New Roman" w:hAnsi="Times New Roman" w:eastAsia="楷体_GB2312" w:cs="Times New Roman"/>
          <w:sz w:val="32"/>
          <w:szCs w:val="32"/>
          <w:highlight w:val="yellow"/>
        </w:rPr>
      </w:pPr>
      <w:r>
        <w:rPr>
          <w:rFonts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四</w:t>
      </w:r>
      <w:r>
        <w:rPr>
          <w:rFonts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rPr>
        <w:t>开展的环境治理及保护情况</w:t>
      </w:r>
    </w:p>
    <w:p w14:paraId="1DD66602">
      <w:pPr>
        <w:keepNext w:val="0"/>
        <w:keepLines w:val="0"/>
        <w:pageBreakBefore w:val="0"/>
        <w:widowControl/>
        <w:kinsoku/>
        <w:wordWrap/>
        <w:overflowPunct/>
        <w:topLinePunct w:val="0"/>
        <w:bidi w:val="0"/>
        <w:snapToGrid/>
        <w:spacing w:line="579" w:lineRule="exact"/>
        <w:ind w:firstLine="640" w:firstLineChars="200"/>
        <w:jc w:val="left"/>
        <w:textAlignment w:val="auto"/>
        <w:rPr>
          <w:rFonts w:ascii="仿宋_GB2312" w:hAnsi="Calibri" w:eastAsia="仿宋_GB2312" w:cs="仿宋_GB2312"/>
          <w:color w:val="000000"/>
          <w:kern w:val="0"/>
          <w:sz w:val="32"/>
          <w:szCs w:val="32"/>
          <w:highlight w:val="none"/>
          <w:shd w:val="clear" w:color="auto" w:fill="FFFFFF"/>
        </w:rPr>
      </w:pPr>
      <w:r>
        <w:rPr>
          <w:rFonts w:hint="eastAsia" w:ascii="仿宋_GB2312" w:hAnsi="Calibri" w:eastAsia="仿宋_GB2312" w:cs="仿宋_GB2312"/>
          <w:color w:val="000000"/>
          <w:kern w:val="0"/>
          <w:sz w:val="32"/>
          <w:szCs w:val="32"/>
          <w:highlight w:val="none"/>
          <w:shd w:val="clear" w:color="auto" w:fill="FFFFFF"/>
          <w:lang w:val="en-US" w:eastAsia="zh-CN"/>
        </w:rPr>
        <w:t>公司持续优化污水处理工艺</w:t>
      </w:r>
      <w:r>
        <w:rPr>
          <w:rFonts w:hint="eastAsia" w:eastAsia="仿宋_GB2312"/>
          <w:sz w:val="32"/>
          <w:szCs w:val="32"/>
          <w:highlight w:val="none"/>
          <w:lang w:val="en-US" w:eastAsia="zh-CN"/>
        </w:rPr>
        <w:t>、药剂投加以及进水水质监控系统</w:t>
      </w:r>
      <w:r>
        <w:rPr>
          <w:rFonts w:eastAsia="仿宋_GB2312"/>
          <w:sz w:val="32"/>
          <w:szCs w:val="32"/>
          <w:highlight w:val="none"/>
        </w:rPr>
        <w:t>，确保生产运营高效稳定。</w:t>
      </w:r>
      <w:r>
        <w:rPr>
          <w:rFonts w:hint="eastAsia" w:ascii="仿宋_GB2312" w:hAnsi="Calibri" w:eastAsia="仿宋_GB2312" w:cs="仿宋_GB2312"/>
          <w:color w:val="000000"/>
          <w:kern w:val="0"/>
          <w:sz w:val="32"/>
          <w:szCs w:val="32"/>
          <w:highlight w:val="none"/>
          <w:shd w:val="clear" w:color="auto" w:fill="FFFFFF"/>
        </w:rPr>
        <w:t>全年出水符合环保</w:t>
      </w:r>
      <w:r>
        <w:rPr>
          <w:rFonts w:hint="eastAsia" w:ascii="仿宋_GB2312" w:hAnsi="Calibri" w:eastAsia="仿宋_GB2312" w:cs="仿宋_GB2312"/>
          <w:color w:val="000000"/>
          <w:kern w:val="0"/>
          <w:sz w:val="32"/>
          <w:szCs w:val="32"/>
          <w:highlight w:val="none"/>
          <w:shd w:val="clear" w:color="auto" w:fill="FFFFFF"/>
          <w:lang w:val="en-US" w:eastAsia="zh-CN"/>
        </w:rPr>
        <w:t>标准</w:t>
      </w:r>
      <w:r>
        <w:rPr>
          <w:rFonts w:hint="eastAsia" w:ascii="仿宋_GB2312" w:hAnsi="Calibri" w:eastAsia="仿宋_GB2312" w:cs="仿宋_GB2312"/>
          <w:color w:val="000000"/>
          <w:kern w:val="0"/>
          <w:sz w:val="32"/>
          <w:szCs w:val="32"/>
          <w:highlight w:val="none"/>
          <w:shd w:val="clear" w:color="auto" w:fill="FFFFFF"/>
        </w:rPr>
        <w:t>要求。</w:t>
      </w:r>
    </w:p>
    <w:p w14:paraId="413A92F2">
      <w:pPr>
        <w:keepNext w:val="0"/>
        <w:keepLines w:val="0"/>
        <w:pageBreakBefore w:val="0"/>
        <w:kinsoku/>
        <w:wordWrap/>
        <w:overflowPunct/>
        <w:topLinePunct w:val="0"/>
        <w:autoSpaceDE w:val="0"/>
        <w:autoSpaceDN w:val="0"/>
        <w:bidi w:val="0"/>
        <w:adjustRightInd w:val="0"/>
        <w:snapToGrid/>
        <w:spacing w:line="579" w:lineRule="exact"/>
        <w:ind w:firstLine="640" w:firstLineChars="200"/>
        <w:jc w:val="left"/>
        <w:textAlignment w:val="auto"/>
        <w:rPr>
          <w:rFonts w:ascii="Times New Roman" w:hAnsi="Times New Roman" w:eastAsia="楷体_GB2312" w:cs="Times New Roman"/>
          <w:sz w:val="32"/>
          <w:szCs w:val="32"/>
          <w:highlight w:val="yellow"/>
        </w:rPr>
      </w:pPr>
      <w:r>
        <w:rPr>
          <w:rFonts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五</w:t>
      </w:r>
      <w:r>
        <w:rPr>
          <w:rFonts w:ascii="Times New Roman" w:hAnsi="Times New Roman" w:eastAsia="楷体_GB2312" w:cs="Times New Roman"/>
          <w:kern w:val="0"/>
          <w:sz w:val="32"/>
          <w:szCs w:val="32"/>
        </w:rPr>
        <w:t>）提供安全的产品和服务，遵守商业道德情况</w:t>
      </w:r>
    </w:p>
    <w:p w14:paraId="60294435">
      <w:pPr>
        <w:keepNext w:val="0"/>
        <w:keepLines w:val="0"/>
        <w:pageBreakBefore w:val="0"/>
        <w:kinsoku/>
        <w:wordWrap/>
        <w:overflowPunct/>
        <w:topLinePunct w:val="0"/>
        <w:autoSpaceDE w:val="0"/>
        <w:autoSpaceDN w:val="0"/>
        <w:bidi w:val="0"/>
        <w:adjustRightInd w:val="0"/>
        <w:snapToGrid w:val="0"/>
        <w:spacing w:line="579" w:lineRule="exact"/>
        <w:ind w:firstLine="640" w:firstLineChars="200"/>
        <w:textAlignment w:val="baseline"/>
        <w:rPr>
          <w:rFonts w:ascii="Times New Roman" w:hAnsi="Times New Roman" w:eastAsia="仿宋_GB2312" w:cs="Times New Roman"/>
          <w:color w:val="auto"/>
          <w:kern w:val="2"/>
          <w:sz w:val="32"/>
          <w:szCs w:val="32"/>
          <w:highlight w:val="none"/>
          <w:shd w:val="clear"/>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年，公司</w:t>
      </w:r>
      <w:r>
        <w:rPr>
          <w:rFonts w:hint="default" w:ascii="Times New Roman" w:hAnsi="Times New Roman" w:eastAsia="仿宋_GB2312" w:cs="Times New Roman"/>
          <w:color w:val="auto"/>
          <w:spacing w:val="0"/>
          <w:sz w:val="32"/>
          <w:szCs w:val="32"/>
          <w:highlight w:val="none"/>
        </w:rPr>
        <w:t>牢固树立红线意识和底线思维，坚持把质量作为企业“生命线工程”之一</w:t>
      </w:r>
      <w:r>
        <w:rPr>
          <w:rFonts w:hint="default" w:ascii="Times New Roman" w:hAnsi="Times New Roman" w:eastAsia="仿宋_GB2312" w:cs="Times New Roman"/>
          <w:color w:val="auto"/>
          <w:spacing w:val="0"/>
          <w:sz w:val="32"/>
          <w:szCs w:val="32"/>
          <w:highlight w:val="none"/>
          <w:lang w:eastAsia="zh-CN"/>
        </w:rPr>
        <w:t>，</w:t>
      </w:r>
      <w:r>
        <w:rPr>
          <w:rFonts w:hint="default" w:ascii="Times New Roman" w:hAnsi="Times New Roman" w:eastAsia="仿宋_GB2312" w:cs="Times New Roman"/>
          <w:color w:val="auto"/>
          <w:kern w:val="2"/>
          <w:sz w:val="32"/>
          <w:szCs w:val="32"/>
          <w:highlight w:val="none"/>
          <w:shd w:val="clear"/>
        </w:rPr>
        <w:t>持续</w:t>
      </w:r>
      <w:r>
        <w:rPr>
          <w:rFonts w:hint="default" w:ascii="Times New Roman" w:hAnsi="Times New Roman" w:eastAsia="仿宋_GB2312" w:cs="Times New Roman"/>
          <w:color w:val="auto"/>
          <w:kern w:val="2"/>
          <w:sz w:val="32"/>
          <w:szCs w:val="32"/>
          <w:highlight w:val="none"/>
          <w:shd w:val="clear"/>
          <w:lang w:val="en-US" w:eastAsia="zh-CN"/>
        </w:rPr>
        <w:t>提升</w:t>
      </w:r>
      <w:r>
        <w:rPr>
          <w:rFonts w:hint="default" w:ascii="Times New Roman" w:hAnsi="Times New Roman" w:eastAsia="仿宋_GB2312" w:cs="Times New Roman"/>
          <w:color w:val="auto"/>
          <w:kern w:val="2"/>
          <w:sz w:val="32"/>
          <w:szCs w:val="32"/>
          <w:highlight w:val="none"/>
          <w:shd w:val="clear"/>
        </w:rPr>
        <w:t>服务</w:t>
      </w:r>
      <w:r>
        <w:rPr>
          <w:rFonts w:hint="default" w:ascii="Times New Roman" w:hAnsi="Times New Roman" w:eastAsia="仿宋_GB2312" w:cs="Times New Roman"/>
          <w:color w:val="auto"/>
          <w:kern w:val="2"/>
          <w:sz w:val="32"/>
          <w:szCs w:val="32"/>
          <w:highlight w:val="none"/>
          <w:shd w:val="clear"/>
          <w:lang w:val="en-US" w:eastAsia="zh-CN"/>
        </w:rPr>
        <w:t>质量</w:t>
      </w:r>
      <w:r>
        <w:rPr>
          <w:rFonts w:hint="default" w:ascii="Times New Roman" w:hAnsi="Times New Roman" w:eastAsia="仿宋_GB2312" w:cs="Times New Roman"/>
          <w:color w:val="auto"/>
          <w:kern w:val="2"/>
          <w:sz w:val="32"/>
          <w:szCs w:val="32"/>
          <w:highlight w:val="none"/>
          <w:shd w:val="clear"/>
        </w:rPr>
        <w:t>，</w:t>
      </w:r>
      <w:r>
        <w:rPr>
          <w:rFonts w:hint="default" w:ascii="Times New Roman" w:hAnsi="Times New Roman" w:eastAsia="仿宋_GB2312" w:cs="Times New Roman"/>
          <w:color w:val="auto"/>
          <w:sz w:val="32"/>
          <w:szCs w:val="32"/>
          <w:highlight w:val="none"/>
          <w:lang w:val="en-US" w:eastAsia="zh-CN"/>
        </w:rPr>
        <w:t>客户对公司服务的整体满意度高，未接到质量投诉或安全事故报告。</w:t>
      </w:r>
    </w:p>
    <w:p w14:paraId="09778988">
      <w:pPr>
        <w:keepNext w:val="0"/>
        <w:keepLines w:val="0"/>
        <w:pageBreakBefore w:val="0"/>
        <w:kinsoku/>
        <w:wordWrap/>
        <w:overflowPunct/>
        <w:topLinePunct w:val="0"/>
        <w:autoSpaceDE w:val="0"/>
        <w:autoSpaceDN w:val="0"/>
        <w:bidi w:val="0"/>
        <w:adjustRightInd w:val="0"/>
        <w:snapToGrid/>
        <w:spacing w:line="579" w:lineRule="exact"/>
        <w:ind w:firstLine="640" w:firstLineChars="200"/>
        <w:jc w:val="left"/>
        <w:textAlignment w:val="auto"/>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rPr>
        <w:t>（</w:t>
      </w:r>
      <w:r>
        <w:rPr>
          <w:rFonts w:hint="eastAsia" w:ascii="Times New Roman" w:hAnsi="Times New Roman" w:eastAsia="楷体_GB2312" w:cs="Times New Roman"/>
          <w:kern w:val="0"/>
          <w:sz w:val="32"/>
          <w:szCs w:val="32"/>
          <w:lang w:val="en-US" w:eastAsia="zh-CN"/>
        </w:rPr>
        <w:t>六</w:t>
      </w:r>
      <w:r>
        <w:rPr>
          <w:rFonts w:ascii="Times New Roman" w:hAnsi="Times New Roman" w:eastAsia="楷体_GB2312" w:cs="Times New Roman"/>
          <w:kern w:val="0"/>
          <w:sz w:val="32"/>
          <w:szCs w:val="32"/>
        </w:rPr>
        <w:t>）对外大额捐赠、赞助情况</w:t>
      </w:r>
    </w:p>
    <w:p w14:paraId="7B5309CE">
      <w:pPr>
        <w:pStyle w:val="9"/>
        <w:keepNext w:val="0"/>
        <w:keepLines w:val="0"/>
        <w:pageBreakBefore w:val="0"/>
        <w:widowControl/>
        <w:kinsoku/>
        <w:wordWrap/>
        <w:overflowPunct/>
        <w:topLinePunct w:val="0"/>
        <w:bidi w:val="0"/>
        <w:snapToGrid/>
        <w:spacing w:beforeAutospacing="0" w:afterAutospacing="0" w:line="579" w:lineRule="exact"/>
        <w:ind w:firstLine="640" w:firstLineChars="200"/>
        <w:jc w:val="both"/>
        <w:textAlignment w:val="auto"/>
        <w:rPr>
          <w:rFonts w:ascii="仿宋_GB2312" w:hAnsi="Calibri" w:eastAsia="仿宋_GB2312" w:cs="仿宋_GB2312"/>
          <w:color w:val="000000"/>
          <w:sz w:val="32"/>
          <w:szCs w:val="32"/>
          <w:shd w:val="clear" w:color="auto" w:fill="FFFFFF"/>
        </w:rPr>
      </w:pPr>
      <w:r>
        <w:rPr>
          <w:rFonts w:hint="eastAsia" w:ascii="仿宋_GB2312" w:hAnsi="Calibri" w:eastAsia="仿宋_GB2312" w:cs="仿宋_GB2312"/>
          <w:color w:val="000000"/>
          <w:sz w:val="32"/>
          <w:szCs w:val="32"/>
          <w:shd w:val="clear" w:color="auto" w:fill="FFFFFF"/>
        </w:rPr>
        <w:t>无。</w:t>
      </w:r>
    </w:p>
    <w:p w14:paraId="53F6E9BB">
      <w:pPr>
        <w:pStyle w:val="9"/>
        <w:keepNext w:val="0"/>
        <w:keepLines w:val="0"/>
        <w:pageBreakBefore w:val="0"/>
        <w:widowControl/>
        <w:kinsoku/>
        <w:wordWrap/>
        <w:overflowPunct/>
        <w:topLinePunct w:val="0"/>
        <w:bidi w:val="0"/>
        <w:snapToGrid/>
        <w:spacing w:beforeAutospacing="0" w:afterAutospacing="0" w:line="579" w:lineRule="exact"/>
        <w:ind w:firstLine="640" w:firstLineChars="200"/>
        <w:jc w:val="both"/>
        <w:textAlignment w:val="auto"/>
        <w:rPr>
          <w:rFonts w:ascii="黑体" w:hAnsi="宋体" w:eastAsia="黑体" w:cs="黑体"/>
          <w:color w:val="000000"/>
          <w:sz w:val="32"/>
          <w:szCs w:val="32"/>
          <w:shd w:val="clear" w:color="auto" w:fill="FFFFFF"/>
        </w:rPr>
      </w:pPr>
      <w:r>
        <w:rPr>
          <w:rFonts w:hint="eastAsia" w:ascii="黑体" w:hAnsi="宋体" w:eastAsia="黑体" w:cs="黑体"/>
          <w:color w:val="000000"/>
          <w:sz w:val="32"/>
          <w:szCs w:val="32"/>
          <w:shd w:val="clear" w:color="auto" w:fill="FFFFFF"/>
          <w:lang w:val="en-US" w:eastAsia="zh-CN"/>
        </w:rPr>
        <w:t>八</w:t>
      </w:r>
      <w:r>
        <w:rPr>
          <w:rFonts w:hint="eastAsia" w:ascii="黑体" w:hAnsi="宋体" w:eastAsia="黑体" w:cs="黑体"/>
          <w:color w:val="000000"/>
          <w:sz w:val="32"/>
          <w:szCs w:val="32"/>
          <w:shd w:val="clear" w:color="auto" w:fill="FFFFFF"/>
        </w:rPr>
        <w:t>、有关部门规定的其他事项，包括依法要求公开的监督检查问题整改情况、重大突发事件事态发展和应急处置情况等信息</w:t>
      </w:r>
    </w:p>
    <w:p w14:paraId="5F3D16FD">
      <w:pPr>
        <w:pStyle w:val="9"/>
        <w:keepNext w:val="0"/>
        <w:keepLines w:val="0"/>
        <w:pageBreakBefore w:val="0"/>
        <w:widowControl/>
        <w:kinsoku/>
        <w:wordWrap/>
        <w:overflowPunct/>
        <w:topLinePunct w:val="0"/>
        <w:bidi w:val="0"/>
        <w:snapToGrid/>
        <w:spacing w:beforeAutospacing="0" w:afterAutospacing="0" w:line="579" w:lineRule="exact"/>
        <w:jc w:val="both"/>
        <w:textAlignment w:val="auto"/>
        <w:rPr>
          <w:rFonts w:ascii="黑体" w:hAnsi="宋体" w:eastAsia="黑体" w:cs="黑体"/>
          <w:color w:val="000000"/>
          <w:sz w:val="32"/>
          <w:szCs w:val="32"/>
          <w:shd w:val="clear" w:color="auto" w:fill="FFFFFF"/>
        </w:rPr>
      </w:pPr>
      <w:r>
        <w:rPr>
          <w:rFonts w:hint="eastAsia" w:ascii="黑体" w:hAnsi="宋体" w:eastAsia="黑体" w:cs="黑体"/>
          <w:color w:val="000000"/>
          <w:sz w:val="32"/>
          <w:szCs w:val="32"/>
          <w:shd w:val="clear" w:color="auto" w:fill="FFFFFF"/>
        </w:rPr>
        <w:t>　　</w:t>
      </w:r>
      <w:r>
        <w:rPr>
          <w:rFonts w:hint="eastAsia" w:ascii="仿宋_GB2312" w:hAnsi="Calibri" w:eastAsia="仿宋_GB2312" w:cs="仿宋_GB2312"/>
          <w:color w:val="000000"/>
          <w:sz w:val="32"/>
          <w:szCs w:val="32"/>
          <w:shd w:val="clear" w:color="auto" w:fill="FFFFFF"/>
        </w:rPr>
        <w:t>无。</w:t>
      </w:r>
    </w:p>
    <w:p w14:paraId="7C66169E">
      <w:pPr>
        <w:pStyle w:val="9"/>
        <w:keepNext w:val="0"/>
        <w:keepLines w:val="0"/>
        <w:pageBreakBefore w:val="0"/>
        <w:widowControl/>
        <w:kinsoku/>
        <w:wordWrap/>
        <w:overflowPunct/>
        <w:topLinePunct w:val="0"/>
        <w:bidi w:val="0"/>
        <w:snapToGrid/>
        <w:spacing w:beforeAutospacing="0" w:afterAutospacing="0" w:line="520" w:lineRule="exact"/>
        <w:jc w:val="right"/>
        <w:textAlignment w:val="auto"/>
        <w:rPr>
          <w:rFonts w:ascii="仿宋_GB2312" w:hAnsi="Calibri" w:eastAsia="仿宋_GB2312" w:cs="仿宋_GB2312"/>
          <w:color w:val="000000"/>
          <w:sz w:val="32"/>
          <w:szCs w:val="32"/>
          <w:shd w:val="clear" w:color="auto" w:fill="FFFFFF"/>
        </w:rPr>
      </w:pPr>
    </w:p>
    <w:p w14:paraId="7ED81788">
      <w:pPr>
        <w:pStyle w:val="9"/>
        <w:keepNext w:val="0"/>
        <w:keepLines w:val="0"/>
        <w:pageBreakBefore w:val="0"/>
        <w:widowControl/>
        <w:kinsoku/>
        <w:wordWrap/>
        <w:overflowPunct/>
        <w:topLinePunct w:val="0"/>
        <w:bidi w:val="0"/>
        <w:snapToGrid/>
        <w:spacing w:beforeAutospacing="0" w:afterAutospacing="0" w:line="520" w:lineRule="exact"/>
        <w:jc w:val="center"/>
        <w:textAlignment w:val="auto"/>
        <w:rPr>
          <w:rFonts w:hint="default" w:ascii="Times New Roman" w:hAnsi="Times New Roman" w:cs="Times New Roma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BE396A-C11D-43A7-A2B9-336AA5E54A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8CE5F6D-5120-4078-AC7C-7D0AE81F523B}"/>
  </w:font>
  <w:font w:name="仿宋_GB2312">
    <w:panose1 w:val="02010609030101010101"/>
    <w:charset w:val="86"/>
    <w:family w:val="modern"/>
    <w:pitch w:val="default"/>
    <w:sig w:usb0="00000001" w:usb1="080E0000" w:usb2="00000000" w:usb3="00000000" w:csb0="00040000" w:csb1="00000000"/>
    <w:embedRegular r:id="rId3" w:fontKey="{8D3A0D58-3103-48D9-A9E6-16D820B377E9}"/>
  </w:font>
  <w:font w:name="方正小标宋简体">
    <w:panose1 w:val="02000000000000000000"/>
    <w:charset w:val="86"/>
    <w:family w:val="auto"/>
    <w:pitch w:val="default"/>
    <w:sig w:usb0="A00002BF" w:usb1="184F6CFA" w:usb2="00000012" w:usb3="00000000" w:csb0="00040001" w:csb1="00000000"/>
    <w:embedRegular r:id="rId4" w:fontKey="{353681E2-4BBF-4570-A998-85E0B70D048A}"/>
  </w:font>
  <w:font w:name="微软雅黑">
    <w:panose1 w:val="020B0503020204020204"/>
    <w:charset w:val="86"/>
    <w:family w:val="auto"/>
    <w:pitch w:val="default"/>
    <w:sig w:usb0="80000287" w:usb1="2ACF3C50" w:usb2="00000016" w:usb3="00000000" w:csb0="0004001F" w:csb1="00000000"/>
    <w:embedRegular r:id="rId5" w:fontKey="{D62ABF34-ABBF-4F22-A6F3-1798CC39FE16}"/>
  </w:font>
  <w:font w:name="仿宋">
    <w:panose1 w:val="02010609060101010101"/>
    <w:charset w:val="86"/>
    <w:family w:val="auto"/>
    <w:pitch w:val="default"/>
    <w:sig w:usb0="800002BF" w:usb1="38CF7CFA" w:usb2="00000016" w:usb3="00000000" w:csb0="00040001" w:csb1="00000000"/>
    <w:embedRegular r:id="rId6" w:fontKey="{04827216-D7D7-409A-9E2D-E6398C1430D7}"/>
  </w:font>
  <w:font w:name="楷体_GB2312">
    <w:panose1 w:val="02010609030101010101"/>
    <w:charset w:val="86"/>
    <w:family w:val="modern"/>
    <w:pitch w:val="default"/>
    <w:sig w:usb0="00000001" w:usb1="080E0000" w:usb2="00000000" w:usb3="00000000" w:csb0="00040000" w:csb1="00000000"/>
    <w:embedRegular r:id="rId7" w:fontKey="{2A475512-7B87-4F6D-93E0-03A403DD989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zNGZiZWFiMjA1MDVhMzkyNjIxODc4Mzk5OGYxMTUifQ=="/>
  </w:docVars>
  <w:rsids>
    <w:rsidRoot w:val="00172A27"/>
    <w:rsid w:val="00040D54"/>
    <w:rsid w:val="00047F39"/>
    <w:rsid w:val="000928AE"/>
    <w:rsid w:val="000A0EC0"/>
    <w:rsid w:val="000D4B56"/>
    <w:rsid w:val="000D7E8C"/>
    <w:rsid w:val="000E1F92"/>
    <w:rsid w:val="001058B4"/>
    <w:rsid w:val="00111C14"/>
    <w:rsid w:val="0013416B"/>
    <w:rsid w:val="001A01EA"/>
    <w:rsid w:val="001C72CB"/>
    <w:rsid w:val="001D262E"/>
    <w:rsid w:val="00290FC6"/>
    <w:rsid w:val="00291446"/>
    <w:rsid w:val="002B2FE2"/>
    <w:rsid w:val="00304730"/>
    <w:rsid w:val="003220EC"/>
    <w:rsid w:val="0033287A"/>
    <w:rsid w:val="0034322D"/>
    <w:rsid w:val="00380641"/>
    <w:rsid w:val="00391C13"/>
    <w:rsid w:val="003C316B"/>
    <w:rsid w:val="003C39FE"/>
    <w:rsid w:val="003C4178"/>
    <w:rsid w:val="003D0B75"/>
    <w:rsid w:val="00415646"/>
    <w:rsid w:val="00421C55"/>
    <w:rsid w:val="00425D04"/>
    <w:rsid w:val="00453B37"/>
    <w:rsid w:val="00470DF9"/>
    <w:rsid w:val="00476C74"/>
    <w:rsid w:val="004B24B9"/>
    <w:rsid w:val="004C19D0"/>
    <w:rsid w:val="004C3C5A"/>
    <w:rsid w:val="00506A83"/>
    <w:rsid w:val="00513A8A"/>
    <w:rsid w:val="00530B3D"/>
    <w:rsid w:val="00530E3B"/>
    <w:rsid w:val="00546760"/>
    <w:rsid w:val="00587F88"/>
    <w:rsid w:val="005C0073"/>
    <w:rsid w:val="005F3B2E"/>
    <w:rsid w:val="00613E79"/>
    <w:rsid w:val="00616218"/>
    <w:rsid w:val="00620601"/>
    <w:rsid w:val="00670672"/>
    <w:rsid w:val="006C3D8E"/>
    <w:rsid w:val="006C6EF0"/>
    <w:rsid w:val="00777B20"/>
    <w:rsid w:val="00797493"/>
    <w:rsid w:val="00810E0D"/>
    <w:rsid w:val="00853A22"/>
    <w:rsid w:val="00876D5D"/>
    <w:rsid w:val="0088628C"/>
    <w:rsid w:val="00892F85"/>
    <w:rsid w:val="008C2CB1"/>
    <w:rsid w:val="00910811"/>
    <w:rsid w:val="00932435"/>
    <w:rsid w:val="00973FB8"/>
    <w:rsid w:val="00974E5B"/>
    <w:rsid w:val="009D3CB8"/>
    <w:rsid w:val="009D6325"/>
    <w:rsid w:val="009E6748"/>
    <w:rsid w:val="009F4E92"/>
    <w:rsid w:val="00A16BFC"/>
    <w:rsid w:val="00A30737"/>
    <w:rsid w:val="00A65814"/>
    <w:rsid w:val="00A738A5"/>
    <w:rsid w:val="00A81F09"/>
    <w:rsid w:val="00AD2156"/>
    <w:rsid w:val="00B20CFD"/>
    <w:rsid w:val="00B23006"/>
    <w:rsid w:val="00B23B02"/>
    <w:rsid w:val="00B27320"/>
    <w:rsid w:val="00B75F7C"/>
    <w:rsid w:val="00B9665E"/>
    <w:rsid w:val="00BC51A3"/>
    <w:rsid w:val="00BD40F6"/>
    <w:rsid w:val="00C22824"/>
    <w:rsid w:val="00C56CA9"/>
    <w:rsid w:val="00C6664C"/>
    <w:rsid w:val="00C67A29"/>
    <w:rsid w:val="00C758CD"/>
    <w:rsid w:val="00CB6B4E"/>
    <w:rsid w:val="00D45B50"/>
    <w:rsid w:val="00D82FAE"/>
    <w:rsid w:val="00DB1C31"/>
    <w:rsid w:val="00DC1D23"/>
    <w:rsid w:val="00DE2611"/>
    <w:rsid w:val="00DF362C"/>
    <w:rsid w:val="00E10A34"/>
    <w:rsid w:val="00E1137A"/>
    <w:rsid w:val="00E16D8C"/>
    <w:rsid w:val="00E47610"/>
    <w:rsid w:val="00E5450B"/>
    <w:rsid w:val="00E547F8"/>
    <w:rsid w:val="00E7445A"/>
    <w:rsid w:val="00E96A78"/>
    <w:rsid w:val="00EA1876"/>
    <w:rsid w:val="00EB7AD7"/>
    <w:rsid w:val="00F0266D"/>
    <w:rsid w:val="00F26E7A"/>
    <w:rsid w:val="00F5521A"/>
    <w:rsid w:val="00F732FD"/>
    <w:rsid w:val="00F955D0"/>
    <w:rsid w:val="012670EA"/>
    <w:rsid w:val="021A09FD"/>
    <w:rsid w:val="02F565AE"/>
    <w:rsid w:val="034C108A"/>
    <w:rsid w:val="03D41DC5"/>
    <w:rsid w:val="03E5503B"/>
    <w:rsid w:val="041D7E34"/>
    <w:rsid w:val="05024BDC"/>
    <w:rsid w:val="05D834B9"/>
    <w:rsid w:val="05E7509A"/>
    <w:rsid w:val="06355706"/>
    <w:rsid w:val="06706F1F"/>
    <w:rsid w:val="07504B60"/>
    <w:rsid w:val="076444C8"/>
    <w:rsid w:val="07966D78"/>
    <w:rsid w:val="07E562BB"/>
    <w:rsid w:val="080F08D8"/>
    <w:rsid w:val="08E21B49"/>
    <w:rsid w:val="0935611C"/>
    <w:rsid w:val="09774987"/>
    <w:rsid w:val="09934806"/>
    <w:rsid w:val="09FB7366"/>
    <w:rsid w:val="0A1C108A"/>
    <w:rsid w:val="0A486323"/>
    <w:rsid w:val="0A901DD4"/>
    <w:rsid w:val="0B2D79F3"/>
    <w:rsid w:val="0B9F01C5"/>
    <w:rsid w:val="0C4F3999"/>
    <w:rsid w:val="0CB952B6"/>
    <w:rsid w:val="0CC872A8"/>
    <w:rsid w:val="0D75742F"/>
    <w:rsid w:val="0D9F44AC"/>
    <w:rsid w:val="0DBB2F7A"/>
    <w:rsid w:val="0E3A5F83"/>
    <w:rsid w:val="0F522633"/>
    <w:rsid w:val="0F9D2C6D"/>
    <w:rsid w:val="0FEE5277"/>
    <w:rsid w:val="10014FAA"/>
    <w:rsid w:val="10497711"/>
    <w:rsid w:val="10815EA0"/>
    <w:rsid w:val="10CD1330"/>
    <w:rsid w:val="10D80401"/>
    <w:rsid w:val="10D820B6"/>
    <w:rsid w:val="10EE1A43"/>
    <w:rsid w:val="11240A5C"/>
    <w:rsid w:val="112E16FB"/>
    <w:rsid w:val="11A46535"/>
    <w:rsid w:val="124222A1"/>
    <w:rsid w:val="12463148"/>
    <w:rsid w:val="1255782F"/>
    <w:rsid w:val="13D03611"/>
    <w:rsid w:val="13FB7F63"/>
    <w:rsid w:val="142179C9"/>
    <w:rsid w:val="144653FD"/>
    <w:rsid w:val="148561A1"/>
    <w:rsid w:val="14D5278D"/>
    <w:rsid w:val="156C2EC6"/>
    <w:rsid w:val="157E5BC8"/>
    <w:rsid w:val="157E7D07"/>
    <w:rsid w:val="161A1699"/>
    <w:rsid w:val="164D433F"/>
    <w:rsid w:val="167F7E0F"/>
    <w:rsid w:val="174F0F7F"/>
    <w:rsid w:val="186A191B"/>
    <w:rsid w:val="18842C1C"/>
    <w:rsid w:val="189270E7"/>
    <w:rsid w:val="18C33745"/>
    <w:rsid w:val="18F8418C"/>
    <w:rsid w:val="190F698A"/>
    <w:rsid w:val="19DB061A"/>
    <w:rsid w:val="1A1360C8"/>
    <w:rsid w:val="1A4268EB"/>
    <w:rsid w:val="1C1F5136"/>
    <w:rsid w:val="1CEB6DC6"/>
    <w:rsid w:val="1DF919B7"/>
    <w:rsid w:val="20542ED4"/>
    <w:rsid w:val="206260F2"/>
    <w:rsid w:val="2079293B"/>
    <w:rsid w:val="21117017"/>
    <w:rsid w:val="22FF181D"/>
    <w:rsid w:val="230E1A60"/>
    <w:rsid w:val="233F1C1A"/>
    <w:rsid w:val="238B4E5F"/>
    <w:rsid w:val="251315B0"/>
    <w:rsid w:val="25C52202"/>
    <w:rsid w:val="25FF7D86"/>
    <w:rsid w:val="260F621B"/>
    <w:rsid w:val="26A76454"/>
    <w:rsid w:val="276460F3"/>
    <w:rsid w:val="27CE5C62"/>
    <w:rsid w:val="28221B0A"/>
    <w:rsid w:val="28887BBF"/>
    <w:rsid w:val="28E42086"/>
    <w:rsid w:val="29150DBC"/>
    <w:rsid w:val="29A71C84"/>
    <w:rsid w:val="29AC053E"/>
    <w:rsid w:val="29B9024C"/>
    <w:rsid w:val="2A2172B9"/>
    <w:rsid w:val="2BF97625"/>
    <w:rsid w:val="2C1C51EE"/>
    <w:rsid w:val="2C835CA7"/>
    <w:rsid w:val="2CB81818"/>
    <w:rsid w:val="2CEA0E0C"/>
    <w:rsid w:val="2D684463"/>
    <w:rsid w:val="2DE57862"/>
    <w:rsid w:val="2F414F6C"/>
    <w:rsid w:val="30C41E63"/>
    <w:rsid w:val="31434FCB"/>
    <w:rsid w:val="32786EF6"/>
    <w:rsid w:val="32CF5E49"/>
    <w:rsid w:val="32D75F8C"/>
    <w:rsid w:val="351D3D85"/>
    <w:rsid w:val="35D72186"/>
    <w:rsid w:val="35EB3E83"/>
    <w:rsid w:val="36171AA8"/>
    <w:rsid w:val="36405F7D"/>
    <w:rsid w:val="37A07212"/>
    <w:rsid w:val="38481119"/>
    <w:rsid w:val="3848736B"/>
    <w:rsid w:val="39406294"/>
    <w:rsid w:val="39A46823"/>
    <w:rsid w:val="3B0D7B76"/>
    <w:rsid w:val="3B4262F3"/>
    <w:rsid w:val="3B451940"/>
    <w:rsid w:val="3BD27FDD"/>
    <w:rsid w:val="3C515B3A"/>
    <w:rsid w:val="3D4F2F4A"/>
    <w:rsid w:val="3DC2371B"/>
    <w:rsid w:val="3E04789A"/>
    <w:rsid w:val="3EB07A18"/>
    <w:rsid w:val="3F147FA7"/>
    <w:rsid w:val="3F454604"/>
    <w:rsid w:val="403F73C3"/>
    <w:rsid w:val="40DC68A2"/>
    <w:rsid w:val="40FA31CC"/>
    <w:rsid w:val="424210BC"/>
    <w:rsid w:val="424C5CAA"/>
    <w:rsid w:val="425132C0"/>
    <w:rsid w:val="428E62C2"/>
    <w:rsid w:val="43B21B3C"/>
    <w:rsid w:val="43CC374D"/>
    <w:rsid w:val="43D85A47"/>
    <w:rsid w:val="44983428"/>
    <w:rsid w:val="45426AC4"/>
    <w:rsid w:val="45486BFC"/>
    <w:rsid w:val="45686117"/>
    <w:rsid w:val="45E664D0"/>
    <w:rsid w:val="45F60406"/>
    <w:rsid w:val="462D194E"/>
    <w:rsid w:val="483D056E"/>
    <w:rsid w:val="48912668"/>
    <w:rsid w:val="49557B3A"/>
    <w:rsid w:val="4A6F69D9"/>
    <w:rsid w:val="4AE50A49"/>
    <w:rsid w:val="4BAE52DF"/>
    <w:rsid w:val="4BED4059"/>
    <w:rsid w:val="4C701E77"/>
    <w:rsid w:val="4C8E75EA"/>
    <w:rsid w:val="4CE377D9"/>
    <w:rsid w:val="4D3E0429"/>
    <w:rsid w:val="4D5E5A0F"/>
    <w:rsid w:val="4D9A5B1B"/>
    <w:rsid w:val="4E7A4533"/>
    <w:rsid w:val="4ECE71A7"/>
    <w:rsid w:val="4F1942F8"/>
    <w:rsid w:val="51917235"/>
    <w:rsid w:val="523E560F"/>
    <w:rsid w:val="557F6076"/>
    <w:rsid w:val="56073D74"/>
    <w:rsid w:val="566405EF"/>
    <w:rsid w:val="57D42DD6"/>
    <w:rsid w:val="57F87BFC"/>
    <w:rsid w:val="58247B2F"/>
    <w:rsid w:val="58633B93"/>
    <w:rsid w:val="5931085A"/>
    <w:rsid w:val="5A2F1CE1"/>
    <w:rsid w:val="5BAC183B"/>
    <w:rsid w:val="5C0936A1"/>
    <w:rsid w:val="5C6A0DAE"/>
    <w:rsid w:val="5CB00EB7"/>
    <w:rsid w:val="5D0E2082"/>
    <w:rsid w:val="5DB93D9B"/>
    <w:rsid w:val="5F013C4C"/>
    <w:rsid w:val="5F021772"/>
    <w:rsid w:val="5F2E07B9"/>
    <w:rsid w:val="5FC44C79"/>
    <w:rsid w:val="5FD41360"/>
    <w:rsid w:val="5FEF7E9C"/>
    <w:rsid w:val="60701A44"/>
    <w:rsid w:val="614D5455"/>
    <w:rsid w:val="61D218D0"/>
    <w:rsid w:val="62864468"/>
    <w:rsid w:val="62A54A4E"/>
    <w:rsid w:val="62CA3823"/>
    <w:rsid w:val="63302D52"/>
    <w:rsid w:val="63324BF9"/>
    <w:rsid w:val="633A597E"/>
    <w:rsid w:val="657F5CA1"/>
    <w:rsid w:val="670C7632"/>
    <w:rsid w:val="6740552D"/>
    <w:rsid w:val="675114E9"/>
    <w:rsid w:val="67BF6E0A"/>
    <w:rsid w:val="689F0032"/>
    <w:rsid w:val="68F0088D"/>
    <w:rsid w:val="69C064B2"/>
    <w:rsid w:val="69DA1138"/>
    <w:rsid w:val="6A0C16F7"/>
    <w:rsid w:val="6A6B28C1"/>
    <w:rsid w:val="6A704BDB"/>
    <w:rsid w:val="6B637A3C"/>
    <w:rsid w:val="6BFA64C0"/>
    <w:rsid w:val="6C232EC7"/>
    <w:rsid w:val="6D236CCE"/>
    <w:rsid w:val="6E5042A8"/>
    <w:rsid w:val="6F1F1530"/>
    <w:rsid w:val="6FD31987"/>
    <w:rsid w:val="6FFB3A44"/>
    <w:rsid w:val="707D50FC"/>
    <w:rsid w:val="70E60EF4"/>
    <w:rsid w:val="717169A4"/>
    <w:rsid w:val="71BC3A02"/>
    <w:rsid w:val="723D0FE7"/>
    <w:rsid w:val="724B7C4E"/>
    <w:rsid w:val="72A46970"/>
    <w:rsid w:val="72FF629D"/>
    <w:rsid w:val="735F4F8D"/>
    <w:rsid w:val="74145D78"/>
    <w:rsid w:val="749901A2"/>
    <w:rsid w:val="75423F24"/>
    <w:rsid w:val="7614205F"/>
    <w:rsid w:val="76AA4771"/>
    <w:rsid w:val="773D0E00"/>
    <w:rsid w:val="776B3F01"/>
    <w:rsid w:val="7770384C"/>
    <w:rsid w:val="779C40BA"/>
    <w:rsid w:val="77CA50CB"/>
    <w:rsid w:val="78D65018"/>
    <w:rsid w:val="791A5BDE"/>
    <w:rsid w:val="7A520BAC"/>
    <w:rsid w:val="7A7255A6"/>
    <w:rsid w:val="7B2665F9"/>
    <w:rsid w:val="7B4056A4"/>
    <w:rsid w:val="7BBD4F47"/>
    <w:rsid w:val="7BDA3403"/>
    <w:rsid w:val="7C1F350C"/>
    <w:rsid w:val="7C5036C5"/>
    <w:rsid w:val="7D4C0330"/>
    <w:rsid w:val="7F741DC0"/>
    <w:rsid w:val="7F895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rFonts w:cs="仿宋_GB2312"/>
      <w:szCs w:val="24"/>
    </w:rPr>
  </w:style>
  <w:style w:type="paragraph" w:styleId="5">
    <w:name w:val="annotation text"/>
    <w:basedOn w:val="1"/>
    <w:link w:val="18"/>
    <w:qFormat/>
    <w:uiPriority w:val="0"/>
    <w:pPr>
      <w:jc w:val="left"/>
    </w:pPr>
  </w:style>
  <w:style w:type="paragraph" w:styleId="6">
    <w:name w:val="Balloon Text"/>
    <w:basedOn w:val="1"/>
    <w:link w:val="20"/>
    <w:qFormat/>
    <w:uiPriority w:val="0"/>
    <w:rPr>
      <w:sz w:val="18"/>
      <w:szCs w:val="18"/>
    </w:rPr>
  </w:style>
  <w:style w:type="paragraph" w:styleId="7">
    <w:name w:val="footer"/>
    <w:basedOn w:val="1"/>
    <w:link w:val="17"/>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annotation subject"/>
    <w:basedOn w:val="5"/>
    <w:next w:val="5"/>
    <w:link w:val="19"/>
    <w:qFormat/>
    <w:uiPriority w:val="0"/>
    <w:rPr>
      <w:b/>
      <w:bCs/>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character" w:styleId="15">
    <w:name w:val="annotation reference"/>
    <w:basedOn w:val="13"/>
    <w:qFormat/>
    <w:uiPriority w:val="0"/>
    <w:rPr>
      <w:sz w:val="21"/>
      <w:szCs w:val="21"/>
    </w:rPr>
  </w:style>
  <w:style w:type="character" w:customStyle="1" w:styleId="16">
    <w:name w:val="页眉 字符"/>
    <w:basedOn w:val="13"/>
    <w:link w:val="8"/>
    <w:qFormat/>
    <w:uiPriority w:val="0"/>
    <w:rPr>
      <w:rFonts w:asciiTheme="minorHAnsi" w:hAnsiTheme="minorHAnsi" w:eastAsiaTheme="minorEastAsia" w:cstheme="minorBidi"/>
      <w:kern w:val="2"/>
      <w:sz w:val="18"/>
      <w:szCs w:val="18"/>
    </w:rPr>
  </w:style>
  <w:style w:type="character" w:customStyle="1" w:styleId="17">
    <w:name w:val="页脚 字符"/>
    <w:basedOn w:val="13"/>
    <w:link w:val="7"/>
    <w:qFormat/>
    <w:uiPriority w:val="0"/>
    <w:rPr>
      <w:rFonts w:asciiTheme="minorHAnsi" w:hAnsiTheme="minorHAnsi" w:eastAsiaTheme="minorEastAsia" w:cstheme="minorBidi"/>
      <w:kern w:val="2"/>
      <w:sz w:val="18"/>
      <w:szCs w:val="18"/>
    </w:rPr>
  </w:style>
  <w:style w:type="character" w:customStyle="1" w:styleId="18">
    <w:name w:val="批注文字 字符"/>
    <w:basedOn w:val="13"/>
    <w:link w:val="5"/>
    <w:qFormat/>
    <w:uiPriority w:val="0"/>
    <w:rPr>
      <w:rFonts w:asciiTheme="minorHAnsi" w:hAnsiTheme="minorHAnsi" w:eastAsiaTheme="minorEastAsia" w:cstheme="minorBidi"/>
      <w:kern w:val="2"/>
      <w:sz w:val="21"/>
      <w:szCs w:val="24"/>
    </w:rPr>
  </w:style>
  <w:style w:type="character" w:customStyle="1" w:styleId="19">
    <w:name w:val="批注主题 字符"/>
    <w:basedOn w:val="18"/>
    <w:link w:val="10"/>
    <w:qFormat/>
    <w:uiPriority w:val="0"/>
    <w:rPr>
      <w:rFonts w:asciiTheme="minorHAnsi" w:hAnsiTheme="minorHAnsi" w:eastAsiaTheme="minorEastAsia" w:cstheme="minorBidi"/>
      <w:b/>
      <w:bCs/>
      <w:kern w:val="2"/>
      <w:sz w:val="21"/>
      <w:szCs w:val="24"/>
    </w:rPr>
  </w:style>
  <w:style w:type="character" w:customStyle="1" w:styleId="20">
    <w:name w:val="批注框文本 字符"/>
    <w:basedOn w:val="13"/>
    <w:link w:val="6"/>
    <w:qFormat/>
    <w:uiPriority w:val="0"/>
    <w:rPr>
      <w:rFonts w:asciiTheme="minorHAnsi" w:hAnsiTheme="minorHAnsi" w:eastAsiaTheme="minorEastAsia" w:cstheme="minorBidi"/>
      <w:kern w:val="2"/>
      <w:sz w:val="18"/>
      <w:szCs w:val="18"/>
    </w:rPr>
  </w:style>
  <w:style w:type="table" w:customStyle="1" w:styleId="2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3b8c249c-5a77-4a8a-ac81-4731bb81583d</errorID>
      <errorWord>:</errorWord>
      <group>L1_Format</group>
      <groupName>格式问题</groupName>
      <ability>L2_HalfPunc</ability>
      <abilityName>全半角检查</abilityName>
      <candidateList>
        <item>：</item>
      </candidateList>
      <explain>文本全半角错误。</explain>
      <paraID>61929D75</paraID>
      <start>6</start>
      <end>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d953a0a9-cbb1-4d53-80c1-b9d51b57cad0}">
  <ds:schemaRefs/>
</ds:datastoreItem>
</file>

<file path=docProps/app.xml><?xml version="1.0" encoding="utf-8"?>
<Properties xmlns="http://schemas.openxmlformats.org/officeDocument/2006/extended-properties" xmlns:vt="http://schemas.openxmlformats.org/officeDocument/2006/docPropsVTypes">
  <Template>Normal</Template>
  <Pages>5</Pages>
  <Words>1730</Words>
  <Characters>1894</Characters>
  <Lines>10</Lines>
  <Paragraphs>2</Paragraphs>
  <TotalTime>0</TotalTime>
  <ScaleCrop>false</ScaleCrop>
  <LinksUpToDate>false</LinksUpToDate>
  <CharactersWithSpaces>1917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2021-06-17T00:55:00Z</dcterms:created>
  <dc:creator>心-O-心</dc:creator>
  <cp:lastModifiedBy>Lumos</cp:lastModifiedBy>
  <cp:lastPrinted>2025-05-21T10:03:00Z</cp:lastPrinted>
  <dcterms:modified xsi:type="dcterms:W3CDTF">2026-04-24T02:04:36Z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6F56870AAE6940F0AA057DFB0EF22674</vt:lpwstr>
  </property>
  <property fmtid="{D5CDD505-2E9C-101B-9397-08002B2CF9AE}" pid="4" name="KSOTemplateDocerSaveRecord">
    <vt:lpwstr>eyJoZGlkIjoiNTMzMGQ4ZDdiMzAwZjEwMDAxNTEyN2M0YWY5OGY2YWIiLCJ1c2VySWQiOiI1OTIxMDQ4MjYifQ==</vt:lpwstr>
  </property>
</Properties>
</file>